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9FA87" w14:textId="77777777" w:rsidR="001112CA" w:rsidRPr="0071436F" w:rsidRDefault="001112CA" w:rsidP="001112CA">
      <w:pPr>
        <w:spacing w:after="0" w:line="240" w:lineRule="auto"/>
        <w:jc w:val="center"/>
        <w:rPr>
          <w:rFonts w:ascii="Work Sans" w:eastAsia="Times New Roman" w:hAnsi="Work Sans" w:cs="Arial"/>
          <w:b/>
          <w:lang w:eastAsia="es-ES"/>
        </w:rPr>
      </w:pPr>
      <w:r w:rsidRPr="0071436F">
        <w:rPr>
          <w:rFonts w:ascii="Work Sans" w:eastAsia="Times New Roman" w:hAnsi="Work Sans" w:cs="Arial"/>
          <w:b/>
          <w:lang w:eastAsia="es-ES"/>
        </w:rPr>
        <w:t>MEMORIA JUSTIFICATIVA</w:t>
      </w:r>
    </w:p>
    <w:p w14:paraId="2F145ACD" w14:textId="77777777" w:rsidR="001112CA" w:rsidRPr="0071436F" w:rsidRDefault="001112CA" w:rsidP="001112CA">
      <w:pPr>
        <w:spacing w:after="0" w:line="240" w:lineRule="auto"/>
        <w:jc w:val="center"/>
        <w:rPr>
          <w:rFonts w:ascii="Work Sans" w:eastAsia="Times New Roman" w:hAnsi="Work Sans" w:cs="Arial"/>
          <w:b/>
          <w:lang w:eastAsia="es-ES"/>
        </w:rPr>
      </w:pPr>
    </w:p>
    <w:p w14:paraId="3AEC31CE" w14:textId="77777777" w:rsidR="001112CA" w:rsidRPr="0071436F" w:rsidRDefault="001112CA" w:rsidP="001112CA">
      <w:pPr>
        <w:spacing w:after="0" w:line="240" w:lineRule="auto"/>
        <w:jc w:val="center"/>
        <w:rPr>
          <w:rFonts w:ascii="Work Sans" w:eastAsia="Times New Roman" w:hAnsi="Work Sans" w:cs="Arial"/>
          <w:b/>
          <w:lang w:eastAsia="es-ES"/>
        </w:rPr>
      </w:pPr>
      <w:r w:rsidRPr="0071436F">
        <w:rPr>
          <w:rFonts w:ascii="Work Sans" w:eastAsia="Times New Roman" w:hAnsi="Work Sans" w:cs="Arial"/>
          <w:b/>
          <w:lang w:eastAsia="es-ES"/>
        </w:rPr>
        <w:t>PROYECTO DE RESOLUCIÓN</w:t>
      </w:r>
    </w:p>
    <w:p w14:paraId="123F82AE" w14:textId="77777777" w:rsidR="001112CA" w:rsidRPr="0071436F" w:rsidRDefault="001112CA" w:rsidP="001112CA">
      <w:pPr>
        <w:spacing w:after="0" w:line="240" w:lineRule="auto"/>
        <w:jc w:val="center"/>
        <w:rPr>
          <w:rFonts w:ascii="Work Sans" w:eastAsia="Times New Roman" w:hAnsi="Work Sans" w:cs="Arial"/>
          <w:b/>
          <w:lang w:eastAsia="es-ES"/>
        </w:rPr>
      </w:pPr>
    </w:p>
    <w:p w14:paraId="298514B2" w14:textId="188FC4FE" w:rsidR="001112CA" w:rsidRPr="0071436F" w:rsidRDefault="001112CA" w:rsidP="001112CA">
      <w:pPr>
        <w:widowControl w:val="0"/>
        <w:tabs>
          <w:tab w:val="left" w:pos="9214"/>
        </w:tabs>
        <w:autoSpaceDE w:val="0"/>
        <w:autoSpaceDN w:val="0"/>
        <w:adjustRightInd w:val="0"/>
        <w:spacing w:after="0" w:line="240" w:lineRule="auto"/>
        <w:ind w:left="142" w:right="425"/>
        <w:jc w:val="center"/>
        <w:rPr>
          <w:rFonts w:ascii="Work Sans" w:hAnsi="Work Sans" w:cs="Arial"/>
        </w:rPr>
      </w:pPr>
      <w:r w:rsidRPr="0030762C">
        <w:rPr>
          <w:rFonts w:ascii="Work Sans" w:hAnsi="Work Sans" w:cs="Arial"/>
          <w:color w:val="000000"/>
        </w:rPr>
        <w:t>“</w:t>
      </w:r>
      <w:r w:rsidR="00B021A8" w:rsidRPr="00FB46DB">
        <w:rPr>
          <w:rFonts w:ascii="Work Sans" w:hAnsi="Work Sans" w:cs="Arial"/>
        </w:rPr>
        <w:t>Por la cual se modifica la resolución 40720 de 2016, por la cual se establecen los lineamientos para el otorgamiento de subsidios al consumo de GLP distribuido en cilindros</w:t>
      </w:r>
      <w:r w:rsidRPr="00694839">
        <w:rPr>
          <w:rFonts w:ascii="Work Sans" w:hAnsi="Work Sans" w:cs="Arial"/>
        </w:rPr>
        <w:t>”</w:t>
      </w:r>
    </w:p>
    <w:p w14:paraId="7177AF14" w14:textId="77777777" w:rsidR="001112CA" w:rsidRPr="0071436F" w:rsidRDefault="001112CA" w:rsidP="001112CA">
      <w:pPr>
        <w:ind w:left="142"/>
        <w:jc w:val="center"/>
        <w:rPr>
          <w:rFonts w:ascii="Work Sans" w:eastAsia="Arial" w:hAnsi="Work Sans" w:cs="Arial"/>
          <w:color w:val="000000"/>
        </w:rPr>
      </w:pPr>
    </w:p>
    <w:p w14:paraId="178477DF" w14:textId="77777777" w:rsidR="001112CA" w:rsidRPr="0071436F" w:rsidRDefault="001112CA" w:rsidP="001112CA">
      <w:pPr>
        <w:numPr>
          <w:ilvl w:val="0"/>
          <w:numId w:val="7"/>
        </w:numPr>
        <w:spacing w:after="0" w:line="240" w:lineRule="auto"/>
        <w:rPr>
          <w:rFonts w:ascii="Work Sans" w:eastAsia="Times New Roman" w:hAnsi="Work Sans" w:cs="Arial"/>
          <w:b/>
          <w:lang w:eastAsia="es-ES"/>
        </w:rPr>
      </w:pPr>
      <w:r w:rsidRPr="0071436F">
        <w:rPr>
          <w:rFonts w:ascii="Work Sans" w:eastAsia="Times New Roman" w:hAnsi="Work Sans" w:cs="Arial"/>
          <w:b/>
          <w:lang w:eastAsia="es-ES"/>
        </w:rPr>
        <w:t>ANTECEDENTES, OPORTUNIDAD Y CONVENIENCIA</w:t>
      </w:r>
    </w:p>
    <w:p w14:paraId="62D83628" w14:textId="77777777" w:rsidR="00E96213" w:rsidRPr="0071436F" w:rsidRDefault="00E96213" w:rsidP="00E96213">
      <w:pPr>
        <w:spacing w:after="0" w:line="240" w:lineRule="auto"/>
        <w:rPr>
          <w:rFonts w:ascii="Work Sans" w:eastAsia="Times New Roman" w:hAnsi="Work Sans" w:cs="Arial"/>
          <w:b/>
          <w:lang w:eastAsia="es-ES"/>
        </w:rPr>
      </w:pPr>
    </w:p>
    <w:p w14:paraId="1475E361" w14:textId="76AFFCB6" w:rsidR="00E96213" w:rsidRPr="0071436F" w:rsidRDefault="00E96213" w:rsidP="00E96213">
      <w:pPr>
        <w:spacing w:after="0" w:line="240" w:lineRule="auto"/>
        <w:jc w:val="both"/>
        <w:rPr>
          <w:rFonts w:ascii="Work Sans" w:eastAsia="Times New Roman" w:hAnsi="Work Sans" w:cs="Arial"/>
          <w:lang w:eastAsia="es-ES"/>
        </w:rPr>
      </w:pPr>
      <w:r w:rsidRPr="0071436F">
        <w:rPr>
          <w:rFonts w:ascii="Work Sans" w:eastAsia="Times New Roman" w:hAnsi="Work Sans" w:cs="Arial"/>
          <w:lang w:eastAsia="es-ES"/>
        </w:rPr>
        <w:t>De acuerdo con lo dispuesto por el artículo 365 de la Constitución Política, los servicios públicos están sometidos al régimen jurídico que fije la ley, son inherentes a la finalidad social del Estado y es deber de este asegurar la prestación eficiente de los mismos para todos los habitantes del territorio nacional.</w:t>
      </w:r>
    </w:p>
    <w:p w14:paraId="1BA28EA6" w14:textId="77777777" w:rsidR="00E96213" w:rsidRPr="0071436F" w:rsidRDefault="00E96213" w:rsidP="00E96213">
      <w:pPr>
        <w:spacing w:after="0" w:line="240" w:lineRule="auto"/>
        <w:jc w:val="both"/>
        <w:rPr>
          <w:rFonts w:ascii="Work Sans" w:eastAsia="Times New Roman" w:hAnsi="Work Sans" w:cs="Arial"/>
          <w:lang w:eastAsia="es-ES"/>
        </w:rPr>
      </w:pPr>
    </w:p>
    <w:p w14:paraId="09A0B91D" w14:textId="2B778E6D" w:rsidR="00E96213" w:rsidRPr="0071436F" w:rsidRDefault="004D3C00" w:rsidP="00E96213">
      <w:pPr>
        <w:spacing w:after="0" w:line="240" w:lineRule="auto"/>
        <w:jc w:val="both"/>
        <w:rPr>
          <w:rFonts w:ascii="Work Sans" w:eastAsia="Times New Roman" w:hAnsi="Work Sans" w:cs="Arial"/>
          <w:lang w:eastAsia="es-ES"/>
        </w:rPr>
      </w:pPr>
      <w:r>
        <w:rPr>
          <w:rFonts w:ascii="Work Sans" w:eastAsia="Times New Roman" w:hAnsi="Work Sans" w:cs="Arial"/>
          <w:lang w:eastAsia="es-ES"/>
        </w:rPr>
        <w:t>E</w:t>
      </w:r>
      <w:r w:rsidR="00E96213" w:rsidRPr="0071436F">
        <w:rPr>
          <w:rFonts w:ascii="Work Sans" w:eastAsia="Times New Roman" w:hAnsi="Work Sans" w:cs="Arial"/>
          <w:lang w:eastAsia="es-ES"/>
        </w:rPr>
        <w:t>l artículo 368 de la Constitución Política dispone que la Nación, los departamentos, los distritos, los municipios y las entidades descentralizadas podrán conceder subsidios, en sus respectivos presupuestos, para que las personas de menores ingresos puedan pagar las tarifas de los servicios públicos domiciliarios que cubran sus necesidades básicas.</w:t>
      </w:r>
    </w:p>
    <w:p w14:paraId="75EA3BD6" w14:textId="77777777" w:rsidR="00E96213" w:rsidRPr="0071436F" w:rsidRDefault="00E96213" w:rsidP="00E96213">
      <w:pPr>
        <w:spacing w:after="0" w:line="240" w:lineRule="auto"/>
        <w:jc w:val="both"/>
        <w:rPr>
          <w:rFonts w:ascii="Work Sans" w:eastAsia="Times New Roman" w:hAnsi="Work Sans" w:cs="Arial"/>
          <w:lang w:eastAsia="es-ES"/>
        </w:rPr>
      </w:pPr>
    </w:p>
    <w:p w14:paraId="36068AB0" w14:textId="249FB21B" w:rsidR="00E96213" w:rsidRPr="0071436F" w:rsidRDefault="004D3C00" w:rsidP="00E96213">
      <w:pPr>
        <w:spacing w:after="0" w:line="240" w:lineRule="auto"/>
        <w:jc w:val="both"/>
        <w:rPr>
          <w:rFonts w:ascii="Work Sans" w:eastAsia="Times New Roman" w:hAnsi="Work Sans" w:cs="Arial"/>
          <w:lang w:eastAsia="es-ES"/>
        </w:rPr>
      </w:pPr>
      <w:r>
        <w:rPr>
          <w:rFonts w:ascii="Work Sans" w:eastAsia="Times New Roman" w:hAnsi="Work Sans" w:cs="Arial"/>
          <w:lang w:eastAsia="es-ES"/>
        </w:rPr>
        <w:t>E</w:t>
      </w:r>
      <w:r w:rsidR="00E96213" w:rsidRPr="0071436F">
        <w:rPr>
          <w:rFonts w:ascii="Work Sans" w:eastAsia="Times New Roman" w:hAnsi="Work Sans" w:cs="Arial"/>
          <w:lang w:eastAsia="es-ES"/>
        </w:rPr>
        <w:t xml:space="preserve">l artículo 99 de la Ley 142 de 1994 estableció las reglas para el otorgamiento de subsidios, las cuales deben entenderse aplicables bajo los preceptos constitucionales de justifica y equidad, a fin de que la población de escasos recursos pueda acceder a los servicios públicos domiciliarios. </w:t>
      </w:r>
    </w:p>
    <w:p w14:paraId="340344D9" w14:textId="77777777" w:rsidR="00E96213" w:rsidRPr="0071436F" w:rsidRDefault="00E96213" w:rsidP="00E96213">
      <w:pPr>
        <w:spacing w:after="0" w:line="240" w:lineRule="auto"/>
        <w:jc w:val="both"/>
        <w:rPr>
          <w:rFonts w:ascii="Work Sans" w:eastAsia="Times New Roman" w:hAnsi="Work Sans" w:cs="Arial"/>
          <w:lang w:eastAsia="es-ES"/>
        </w:rPr>
      </w:pPr>
    </w:p>
    <w:p w14:paraId="01BEA085" w14:textId="67A38A05" w:rsidR="00E96213" w:rsidRPr="0071436F" w:rsidRDefault="004D3C00" w:rsidP="0071436F">
      <w:pPr>
        <w:spacing w:after="0" w:line="240" w:lineRule="auto"/>
        <w:jc w:val="both"/>
        <w:rPr>
          <w:rFonts w:ascii="Work Sans" w:eastAsia="Times New Roman" w:hAnsi="Work Sans" w:cs="Arial"/>
          <w:lang w:eastAsia="es-ES"/>
        </w:rPr>
      </w:pPr>
      <w:r>
        <w:rPr>
          <w:rFonts w:ascii="Work Sans" w:eastAsia="Times New Roman" w:hAnsi="Work Sans" w:cs="Arial"/>
          <w:lang w:eastAsia="es-ES"/>
        </w:rPr>
        <w:t>M</w:t>
      </w:r>
      <w:r w:rsidR="00E96213" w:rsidRPr="0071436F">
        <w:rPr>
          <w:rFonts w:ascii="Work Sans" w:eastAsia="Times New Roman" w:hAnsi="Work Sans" w:cs="Arial"/>
          <w:lang w:eastAsia="es-ES"/>
        </w:rPr>
        <w:t xml:space="preserve">ediante el Decreto 2195 del 7 de octubre de 2013 se estableció el otorgamiento de subsidios al consumo de GLP distribuido por cilindros. </w:t>
      </w:r>
      <w:r w:rsidR="0071436F" w:rsidRPr="0071436F">
        <w:rPr>
          <w:rFonts w:ascii="Work Sans" w:eastAsia="Times New Roman" w:hAnsi="Work Sans" w:cs="Arial"/>
          <w:lang w:eastAsia="es-ES"/>
        </w:rPr>
        <w:t>Así mismo el</w:t>
      </w:r>
      <w:r w:rsidR="00E96213" w:rsidRPr="0071436F">
        <w:rPr>
          <w:rFonts w:ascii="Work Sans" w:eastAsia="Times New Roman" w:hAnsi="Work Sans" w:cs="Arial"/>
          <w:lang w:eastAsia="es-ES"/>
        </w:rPr>
        <w:t xml:space="preserve"> artículo 2 </w:t>
      </w:r>
      <w:r w:rsidR="0071436F" w:rsidRPr="0071436F">
        <w:rPr>
          <w:rFonts w:ascii="Work Sans" w:eastAsia="Times New Roman" w:hAnsi="Work Sans" w:cs="Arial"/>
          <w:lang w:eastAsia="es-ES"/>
        </w:rPr>
        <w:t>del mencionado decreto</w:t>
      </w:r>
      <w:r w:rsidR="00E96213" w:rsidRPr="0071436F">
        <w:rPr>
          <w:rFonts w:ascii="Work Sans" w:eastAsia="Times New Roman" w:hAnsi="Work Sans" w:cs="Arial"/>
          <w:lang w:eastAsia="es-ES"/>
        </w:rPr>
        <w:t xml:space="preserve"> señala que el Ministerio de Minas y Energía podrá otorgar subsidios al consumo de GLP distribuido mediante cilindros a usuarios conforme con lo establecido en la ley.</w:t>
      </w:r>
    </w:p>
    <w:p w14:paraId="0920BE20" w14:textId="77777777" w:rsidR="00E96213" w:rsidRPr="0071436F" w:rsidRDefault="00E96213" w:rsidP="00E96213">
      <w:pPr>
        <w:spacing w:after="0" w:line="240" w:lineRule="auto"/>
        <w:jc w:val="both"/>
        <w:rPr>
          <w:rFonts w:ascii="Work Sans" w:eastAsia="Times New Roman" w:hAnsi="Work Sans" w:cs="Arial"/>
          <w:lang w:eastAsia="es-ES"/>
        </w:rPr>
      </w:pPr>
    </w:p>
    <w:p w14:paraId="482A80C2" w14:textId="07F2C27A" w:rsidR="00E96213" w:rsidRPr="0071436F" w:rsidRDefault="004D3C00" w:rsidP="00E96213">
      <w:pPr>
        <w:spacing w:after="0" w:line="240" w:lineRule="auto"/>
        <w:jc w:val="both"/>
        <w:rPr>
          <w:rFonts w:ascii="Work Sans" w:eastAsia="Times New Roman" w:hAnsi="Work Sans" w:cs="Arial"/>
          <w:lang w:eastAsia="es-ES"/>
        </w:rPr>
      </w:pPr>
      <w:r>
        <w:rPr>
          <w:rFonts w:ascii="Work Sans" w:eastAsia="Times New Roman" w:hAnsi="Work Sans" w:cs="Arial"/>
          <w:lang w:eastAsia="es-ES"/>
        </w:rPr>
        <w:t>M</w:t>
      </w:r>
      <w:r w:rsidR="00E96213" w:rsidRPr="0071436F">
        <w:rPr>
          <w:rFonts w:ascii="Work Sans" w:eastAsia="Times New Roman" w:hAnsi="Work Sans" w:cs="Arial"/>
          <w:lang w:eastAsia="es-ES"/>
        </w:rPr>
        <w:t xml:space="preserve">ediante Resolución 40720 del 27 de julio de 2016 el Ministerio de Minas y Energía estableció los lineamientos para el otorgamiento de subsidios al consumo de GLP distribuido en cilindros a usuarios de comunidades indígenas y a usuarios de estratos 1 y 2 en los departamentos de Caquetá, Nariño, Putumayo y San Andrés, Providencia y Santa Catalina; y a las comunidades indígenas y a los usuarios de estratos 1 y 2 de las zonas rurales de los municipios del Departamento del Cauca que hacen parte de las Áreas Protegidas del Sistema de Parques Nacionales Naturales con jurisdicción en el Macizo Colombiano. </w:t>
      </w:r>
    </w:p>
    <w:p w14:paraId="219A669D" w14:textId="77777777" w:rsidR="00E96213" w:rsidRPr="0071436F" w:rsidRDefault="00E96213" w:rsidP="00E96213">
      <w:pPr>
        <w:spacing w:after="0" w:line="240" w:lineRule="auto"/>
        <w:jc w:val="both"/>
        <w:rPr>
          <w:rFonts w:ascii="Work Sans" w:eastAsia="Times New Roman" w:hAnsi="Work Sans" w:cs="Arial"/>
          <w:lang w:eastAsia="es-ES"/>
        </w:rPr>
      </w:pPr>
    </w:p>
    <w:p w14:paraId="36C6A50A" w14:textId="43A3F6E7" w:rsidR="00E96213" w:rsidRPr="0071436F" w:rsidRDefault="00E96213" w:rsidP="00E96213">
      <w:pPr>
        <w:spacing w:after="0" w:line="240" w:lineRule="auto"/>
        <w:jc w:val="both"/>
        <w:rPr>
          <w:rFonts w:ascii="Work Sans" w:eastAsia="Times New Roman" w:hAnsi="Work Sans" w:cs="Arial"/>
          <w:lang w:eastAsia="es-ES"/>
        </w:rPr>
      </w:pPr>
      <w:r w:rsidRPr="0071436F">
        <w:rPr>
          <w:rFonts w:ascii="Work Sans" w:eastAsia="Times New Roman" w:hAnsi="Work Sans" w:cs="Arial"/>
          <w:lang w:eastAsia="es-ES"/>
        </w:rPr>
        <w:t>Que de acuerdo a la Ley 1940</w:t>
      </w:r>
      <w:r w:rsidR="002E372E">
        <w:rPr>
          <w:rFonts w:ascii="Work Sans" w:eastAsia="Times New Roman" w:hAnsi="Work Sans" w:cs="Arial"/>
          <w:lang w:eastAsia="es-ES"/>
        </w:rPr>
        <w:t xml:space="preserve"> de 2018, </w:t>
      </w:r>
      <w:r w:rsidRPr="0071436F">
        <w:rPr>
          <w:rFonts w:ascii="Work Sans" w:eastAsia="Times New Roman" w:hAnsi="Work Sans" w:cs="Arial"/>
          <w:lang w:eastAsia="es-ES"/>
        </w:rPr>
        <w:t>en el artículo 145</w:t>
      </w:r>
      <w:r w:rsidR="002E372E">
        <w:rPr>
          <w:rFonts w:ascii="Work Sans" w:eastAsia="Times New Roman" w:hAnsi="Work Sans" w:cs="Arial"/>
          <w:lang w:eastAsia="es-ES"/>
        </w:rPr>
        <w:t xml:space="preserve"> se incluye </w:t>
      </w:r>
      <w:r w:rsidRPr="0071436F">
        <w:rPr>
          <w:rFonts w:ascii="Work Sans" w:eastAsia="Times New Roman" w:hAnsi="Work Sans" w:cs="Arial"/>
          <w:lang w:eastAsia="es-ES"/>
        </w:rPr>
        <w:t xml:space="preserve">el Departamento del Amazonas;  “Durante la vigencia de la presente Ley, se podrá ampliar la cobertura del Plan Piloto de Subsidios de GLP en cilindros, al Departamento del Amazonas para </w:t>
      </w:r>
      <w:r w:rsidRPr="0071436F">
        <w:rPr>
          <w:rFonts w:ascii="Work Sans" w:eastAsia="Times New Roman" w:hAnsi="Work Sans" w:cs="Arial"/>
          <w:lang w:eastAsia="es-ES"/>
        </w:rPr>
        <w:lastRenderedPageBreak/>
        <w:t>el beneficio de las comunidades indígenas y de los usuarios del estrato 1 y 2. El Ministerio de Minas y Energía definirá los términos, condiciones y cobertura para la asignación de recursos de conformidad con las disponibilidades presupuestales”.</w:t>
      </w:r>
    </w:p>
    <w:p w14:paraId="3B5F5EEA" w14:textId="753CDEE9" w:rsidR="00E96213" w:rsidRPr="0071436F" w:rsidRDefault="00E96213" w:rsidP="00E96213">
      <w:pPr>
        <w:spacing w:after="0" w:line="240" w:lineRule="auto"/>
        <w:jc w:val="both"/>
        <w:rPr>
          <w:rFonts w:ascii="Work Sans" w:eastAsia="Times New Roman" w:hAnsi="Work Sans" w:cs="Arial"/>
          <w:lang w:eastAsia="es-ES"/>
        </w:rPr>
      </w:pPr>
      <w:r w:rsidRPr="0071436F">
        <w:rPr>
          <w:rFonts w:ascii="Work Sans" w:eastAsia="Times New Roman" w:hAnsi="Work Sans" w:cs="Arial"/>
          <w:lang w:eastAsia="es-ES"/>
        </w:rPr>
        <w:t xml:space="preserve"> </w:t>
      </w:r>
    </w:p>
    <w:p w14:paraId="54C91498" w14:textId="70A789D6" w:rsidR="00E96213" w:rsidRPr="0071436F" w:rsidRDefault="00E96213" w:rsidP="00E96213">
      <w:pPr>
        <w:spacing w:after="0" w:line="240" w:lineRule="auto"/>
        <w:jc w:val="both"/>
        <w:rPr>
          <w:rFonts w:ascii="Work Sans" w:eastAsia="Times New Roman" w:hAnsi="Work Sans" w:cs="Arial"/>
          <w:lang w:eastAsia="es-ES"/>
        </w:rPr>
      </w:pPr>
      <w:r w:rsidRPr="0071436F">
        <w:rPr>
          <w:rFonts w:ascii="Work Sans" w:eastAsia="Times New Roman" w:hAnsi="Work Sans" w:cs="Arial"/>
          <w:lang w:eastAsia="es-ES"/>
        </w:rPr>
        <w:t>Así mismo el artículo 148 del Decreto 2467 del 28 de diciembre de 2018. Presupuesto General de la Nación “Durante la vigencia del presente Decreto, se podrá ampliar la cobertura del Plan Piloto de Subsidios de GLP en cilindros, al Departamento del Amazonas para el beneficio de las comunidades indígenas y los usuarios de los estratos 1 y 2. El Ministerio de Minas y Energía definirá los términos, condiciones y cobertura para la asignación de recursos de conformidad con las disponibilidades presupuestales”.</w:t>
      </w:r>
    </w:p>
    <w:p w14:paraId="46474248" w14:textId="77777777" w:rsidR="00E96213" w:rsidRPr="0071436F" w:rsidRDefault="00E96213" w:rsidP="00E96213">
      <w:pPr>
        <w:spacing w:after="0" w:line="240" w:lineRule="auto"/>
        <w:jc w:val="both"/>
        <w:rPr>
          <w:rFonts w:ascii="Work Sans" w:eastAsia="Times New Roman" w:hAnsi="Work Sans" w:cs="Arial"/>
          <w:lang w:eastAsia="es-ES"/>
        </w:rPr>
      </w:pPr>
    </w:p>
    <w:p w14:paraId="4127E00A" w14:textId="071B81F0" w:rsidR="00E96213" w:rsidRPr="0071436F" w:rsidRDefault="002721FE" w:rsidP="00E96213">
      <w:pPr>
        <w:spacing w:after="0" w:line="240" w:lineRule="auto"/>
        <w:jc w:val="both"/>
        <w:rPr>
          <w:rFonts w:ascii="Work Sans" w:eastAsia="Times New Roman" w:hAnsi="Work Sans" w:cs="Arial"/>
          <w:lang w:eastAsia="es-ES"/>
        </w:rPr>
      </w:pPr>
      <w:r>
        <w:rPr>
          <w:rFonts w:ascii="Work Sans" w:eastAsia="Times New Roman" w:hAnsi="Work Sans" w:cs="Arial"/>
          <w:lang w:eastAsia="es-ES"/>
        </w:rPr>
        <w:t>E</w:t>
      </w:r>
      <w:r w:rsidR="00E96213" w:rsidRPr="0071436F">
        <w:rPr>
          <w:rFonts w:ascii="Work Sans" w:eastAsia="Times New Roman" w:hAnsi="Work Sans" w:cs="Arial"/>
          <w:lang w:eastAsia="es-ES"/>
        </w:rPr>
        <w:t>l artículo 3 de la Resolución 40720 de 2016 señaló que el monto máximo a subsidiar por hogar será el consumo de subsistencia definido por la Unidad de Planeación Minero Energética, UPME, el cual de acuerdo con la Resolución 129 de 2007 o la norma que la modifique o sustituya, corresponde a 14,6 kilogramos (32,1874 libras) al mes y no podrá superar el 50% para el estrato 1 y el 40% para el estrato 2.</w:t>
      </w:r>
    </w:p>
    <w:p w14:paraId="31CAAAC9" w14:textId="77777777" w:rsidR="00E96213" w:rsidRPr="0071436F" w:rsidRDefault="00E96213" w:rsidP="00E96213">
      <w:pPr>
        <w:spacing w:after="0" w:line="240" w:lineRule="auto"/>
        <w:jc w:val="both"/>
        <w:rPr>
          <w:rFonts w:ascii="Work Sans" w:eastAsia="Times New Roman" w:hAnsi="Work Sans" w:cs="Arial"/>
          <w:lang w:eastAsia="es-ES"/>
        </w:rPr>
      </w:pPr>
    </w:p>
    <w:p w14:paraId="4706C1FA" w14:textId="45548FD5" w:rsidR="00E96213" w:rsidRPr="0071436F" w:rsidRDefault="002721FE" w:rsidP="00E96213">
      <w:pPr>
        <w:spacing w:after="0" w:line="240" w:lineRule="auto"/>
        <w:jc w:val="both"/>
        <w:rPr>
          <w:rFonts w:ascii="Work Sans" w:eastAsia="Times New Roman" w:hAnsi="Work Sans" w:cs="Arial"/>
          <w:lang w:eastAsia="es-ES"/>
        </w:rPr>
      </w:pPr>
      <w:r>
        <w:rPr>
          <w:rFonts w:ascii="Work Sans" w:eastAsia="Times New Roman" w:hAnsi="Work Sans" w:cs="Arial"/>
          <w:lang w:eastAsia="es-ES"/>
        </w:rPr>
        <w:t>A</w:t>
      </w:r>
      <w:r w:rsidR="00E96213" w:rsidRPr="0071436F">
        <w:rPr>
          <w:rFonts w:ascii="Work Sans" w:eastAsia="Times New Roman" w:hAnsi="Work Sans" w:cs="Arial"/>
          <w:lang w:eastAsia="es-ES"/>
        </w:rPr>
        <w:t xml:space="preserve">demás, el parágrafo 1 del artículo 8 de la Resolución 40720 de 2016 estableció que la entrega, reconocimiento y pago de los subsidios a usuarios por el consumo de GLP en cilindros se realizará de conformidad con la disponibilidad presupuestal. </w:t>
      </w:r>
    </w:p>
    <w:p w14:paraId="694C6F4E" w14:textId="77777777" w:rsidR="00E96213" w:rsidRPr="0071436F" w:rsidRDefault="00E96213" w:rsidP="00E96213">
      <w:pPr>
        <w:spacing w:after="0" w:line="240" w:lineRule="auto"/>
        <w:jc w:val="both"/>
        <w:rPr>
          <w:rFonts w:ascii="Work Sans" w:eastAsia="Times New Roman" w:hAnsi="Work Sans" w:cs="Arial"/>
          <w:lang w:eastAsia="es-ES"/>
        </w:rPr>
      </w:pPr>
    </w:p>
    <w:p w14:paraId="244D5668" w14:textId="5354E230" w:rsidR="00E96213" w:rsidRDefault="002721FE" w:rsidP="00E96213">
      <w:pPr>
        <w:spacing w:after="0" w:line="240" w:lineRule="auto"/>
        <w:jc w:val="both"/>
        <w:rPr>
          <w:rFonts w:ascii="Work Sans" w:eastAsia="Times New Roman" w:hAnsi="Work Sans" w:cs="Arial"/>
          <w:lang w:eastAsia="es-ES"/>
        </w:rPr>
      </w:pPr>
      <w:r>
        <w:rPr>
          <w:rFonts w:ascii="Work Sans" w:eastAsia="Times New Roman" w:hAnsi="Work Sans" w:cs="Arial"/>
          <w:lang w:eastAsia="es-ES"/>
        </w:rPr>
        <w:t xml:space="preserve">En </w:t>
      </w:r>
      <w:r w:rsidR="00E96213" w:rsidRPr="0071436F">
        <w:rPr>
          <w:rFonts w:ascii="Work Sans" w:eastAsia="Times New Roman" w:hAnsi="Work Sans" w:cs="Arial"/>
          <w:lang w:eastAsia="es-ES"/>
        </w:rPr>
        <w:t>el Anexo del Decreto 2467 de 2018, en el presupuesto de inversión de la sección presupuestal 2101-01 Ministerio de Minas y Energía- Gestión General con la cuenta programa 2101, subcuenta 1900-10 se apropian recursos por valor de $90.336.000.000 del proyecto “Distribución de recursos al consumo en cilindros y proyectos de infraestructura de GLP Nacional”.</w:t>
      </w:r>
    </w:p>
    <w:p w14:paraId="1A266A01" w14:textId="77777777" w:rsidR="002B55DC" w:rsidRDefault="002B55DC" w:rsidP="00E96213">
      <w:pPr>
        <w:spacing w:after="0" w:line="240" w:lineRule="auto"/>
        <w:jc w:val="both"/>
        <w:rPr>
          <w:rFonts w:ascii="Work Sans" w:hAnsi="Work Sans" w:cs="Arial"/>
          <w:color w:val="000000"/>
          <w:shd w:val="clear" w:color="auto" w:fill="FFFFFF"/>
        </w:rPr>
      </w:pPr>
    </w:p>
    <w:p w14:paraId="1AD07599" w14:textId="246964F9" w:rsidR="002B55DC" w:rsidRPr="0071436F" w:rsidRDefault="002721FE" w:rsidP="00E96213">
      <w:pPr>
        <w:spacing w:after="0" w:line="240" w:lineRule="auto"/>
        <w:jc w:val="both"/>
        <w:rPr>
          <w:rFonts w:ascii="Work Sans" w:eastAsia="Times New Roman" w:hAnsi="Work Sans" w:cs="Arial"/>
          <w:lang w:eastAsia="es-ES"/>
        </w:rPr>
      </w:pPr>
      <w:r>
        <w:rPr>
          <w:rFonts w:ascii="Work Sans" w:hAnsi="Work Sans" w:cs="Arial"/>
          <w:color w:val="000000"/>
          <w:shd w:val="clear" w:color="auto" w:fill="FFFFFF"/>
        </w:rPr>
        <w:t>E</w:t>
      </w:r>
      <w:r w:rsidR="002B55DC">
        <w:rPr>
          <w:rFonts w:ascii="Work Sans" w:hAnsi="Work Sans" w:cs="Arial"/>
          <w:color w:val="000000"/>
          <w:shd w:val="clear" w:color="auto" w:fill="FFFFFF"/>
        </w:rPr>
        <w:t>n el artículo 129 del mencionado Decreto, el Ministerio de Minas y Energía asignar</w:t>
      </w:r>
      <w:r>
        <w:rPr>
          <w:rFonts w:ascii="Work Sans" w:hAnsi="Work Sans" w:cs="Arial"/>
          <w:color w:val="000000"/>
          <w:shd w:val="clear" w:color="auto" w:fill="FFFFFF"/>
        </w:rPr>
        <w:t>á</w:t>
      </w:r>
      <w:r w:rsidR="002B55DC">
        <w:rPr>
          <w:rFonts w:ascii="Work Sans" w:hAnsi="Work Sans" w:cs="Arial"/>
          <w:color w:val="000000"/>
          <w:shd w:val="clear" w:color="auto" w:fill="FFFFFF"/>
        </w:rPr>
        <w:t xml:space="preserve"> $40 mil millones de pesos para promover y confirmar proyectos dirigidos a la prestación de servicio público de gas combustible a través del desarrollo de infraestructura de gas licuado del petróleo – GLP por red a nivel nacional y masificar su uso en el sector rural y en los estratos bajos urbanos, con cargo a los recursos dispuestos en la presente vigencia por el proyecto 2101-1900-10 “Distribución de recursos para pagos por menores tarifas sector GLP distribuidos en cilindros y tanques estacionarios a nivel nacional”.</w:t>
      </w:r>
    </w:p>
    <w:p w14:paraId="45F89126" w14:textId="77777777" w:rsidR="00E96213" w:rsidRPr="0071436F" w:rsidRDefault="00E96213" w:rsidP="00E96213">
      <w:pPr>
        <w:spacing w:after="0" w:line="240" w:lineRule="auto"/>
        <w:jc w:val="both"/>
        <w:rPr>
          <w:rFonts w:ascii="Work Sans" w:eastAsia="Times New Roman" w:hAnsi="Work Sans" w:cs="Arial"/>
          <w:lang w:eastAsia="es-ES"/>
        </w:rPr>
      </w:pPr>
    </w:p>
    <w:p w14:paraId="6BE52F93" w14:textId="7A535E60" w:rsidR="00E96213" w:rsidRPr="0071436F" w:rsidRDefault="002721FE" w:rsidP="00E96213">
      <w:pPr>
        <w:spacing w:after="0" w:line="240" w:lineRule="auto"/>
        <w:jc w:val="both"/>
        <w:rPr>
          <w:rFonts w:ascii="Work Sans" w:eastAsia="Times New Roman" w:hAnsi="Work Sans" w:cs="Arial"/>
          <w:lang w:eastAsia="es-ES"/>
        </w:rPr>
      </w:pPr>
      <w:r>
        <w:rPr>
          <w:rFonts w:ascii="Work Sans" w:eastAsia="Times New Roman" w:hAnsi="Work Sans" w:cs="Arial"/>
          <w:lang w:eastAsia="es-ES"/>
        </w:rPr>
        <w:t>E</w:t>
      </w:r>
      <w:r w:rsidR="00E96213" w:rsidRPr="0071436F">
        <w:rPr>
          <w:rFonts w:ascii="Work Sans" w:eastAsia="Times New Roman" w:hAnsi="Work Sans" w:cs="Arial"/>
          <w:lang w:eastAsia="es-ES"/>
        </w:rPr>
        <w:t>n el Sistema Único de Inversión y Finanzas Públicas –SUIFP- se encuentra registrado el proyecto denominado “Distribución de recursos para pagos de menores tarifas sector GLP distribuidos en cilindros y tanques estacionarios a nivel nacional” a cargo del Ministerio de Minas y Energía, el cual tiene por objeto asignar recursos del presupuesto general de la Nación para el otorgamiento de subsidios a usuarios residenciales de gas licuado de petróleo, GLP, distribuido en cilindros y tanques estacionarios.</w:t>
      </w:r>
    </w:p>
    <w:p w14:paraId="525F1343" w14:textId="77777777" w:rsidR="00E96213" w:rsidRPr="0071436F" w:rsidRDefault="00E96213" w:rsidP="00E96213">
      <w:pPr>
        <w:spacing w:after="0" w:line="240" w:lineRule="auto"/>
        <w:jc w:val="both"/>
        <w:rPr>
          <w:rFonts w:ascii="Work Sans" w:eastAsia="Times New Roman" w:hAnsi="Work Sans" w:cs="Arial"/>
          <w:lang w:eastAsia="es-ES"/>
        </w:rPr>
      </w:pPr>
    </w:p>
    <w:p w14:paraId="2EFB754F" w14:textId="35D05E46" w:rsidR="00E96213" w:rsidRPr="00694839" w:rsidRDefault="002B55DC" w:rsidP="00E96213">
      <w:pPr>
        <w:spacing w:after="0" w:line="240" w:lineRule="auto"/>
        <w:jc w:val="both"/>
        <w:rPr>
          <w:rFonts w:ascii="Work Sans" w:eastAsia="Times New Roman" w:hAnsi="Work Sans" w:cs="Arial"/>
          <w:lang w:eastAsia="es-ES"/>
        </w:rPr>
      </w:pPr>
      <w:r>
        <w:rPr>
          <w:rFonts w:ascii="Work Sans" w:eastAsia="Times New Roman" w:hAnsi="Work Sans" w:cs="Arial"/>
          <w:lang w:eastAsia="es-ES"/>
        </w:rPr>
        <w:lastRenderedPageBreak/>
        <w:t>Es necesario señalar que</w:t>
      </w:r>
      <w:r w:rsidR="00E96213" w:rsidRPr="0071436F">
        <w:rPr>
          <w:rFonts w:ascii="Work Sans" w:eastAsia="Times New Roman" w:hAnsi="Work Sans" w:cs="Arial"/>
          <w:lang w:eastAsia="es-ES"/>
        </w:rPr>
        <w:t xml:space="preserve"> </w:t>
      </w:r>
      <w:r w:rsidR="0009221E">
        <w:rPr>
          <w:rFonts w:ascii="Work Sans" w:eastAsia="Times New Roman" w:hAnsi="Work Sans" w:cs="Arial"/>
          <w:lang w:eastAsia="es-ES"/>
        </w:rPr>
        <w:t>t</w:t>
      </w:r>
      <w:r w:rsidR="0009221E" w:rsidRPr="0009221E">
        <w:rPr>
          <w:rFonts w:ascii="Work Sans" w:eastAsia="Times New Roman" w:hAnsi="Work Sans" w:cs="Arial"/>
          <w:lang w:eastAsia="es-ES"/>
        </w:rPr>
        <w:t xml:space="preserve">eniendo en cuenta la disponibilidad presupuestal señalada en el </w:t>
      </w:r>
      <w:r w:rsidR="0009221E" w:rsidRPr="002721FE">
        <w:rPr>
          <w:rFonts w:ascii="Work Sans" w:eastAsia="Times New Roman" w:hAnsi="Work Sans" w:cs="Arial"/>
          <w:lang w:eastAsia="es-ES"/>
        </w:rPr>
        <w:t xml:space="preserve">Decreto 2467 de 2018 y propendiendo para que el subsidio al consumo de GLP distribuido en cilindros se otorgue a la población más vulnerable en razón a su ubicación, </w:t>
      </w:r>
      <w:r w:rsidR="0009221E" w:rsidRPr="00694839">
        <w:rPr>
          <w:rFonts w:ascii="Work Sans" w:eastAsia="Times New Roman" w:hAnsi="Work Sans" w:cs="Arial"/>
          <w:lang w:eastAsia="es-ES"/>
        </w:rPr>
        <w:t>atendiendo el principio constitucional de solidaridad</w:t>
      </w:r>
      <w:r w:rsidR="00E96213" w:rsidRPr="00694839">
        <w:rPr>
          <w:rFonts w:ascii="Work Sans" w:eastAsia="Times New Roman" w:hAnsi="Work Sans" w:cs="Arial"/>
          <w:lang w:eastAsia="es-ES"/>
        </w:rPr>
        <w:t>.</w:t>
      </w:r>
    </w:p>
    <w:p w14:paraId="212D5C42" w14:textId="77777777" w:rsidR="002721FE" w:rsidRPr="00694839" w:rsidRDefault="002721FE" w:rsidP="00E96213">
      <w:pPr>
        <w:spacing w:after="0" w:line="240" w:lineRule="auto"/>
        <w:jc w:val="both"/>
        <w:rPr>
          <w:rFonts w:ascii="Work Sans" w:eastAsia="Times New Roman" w:hAnsi="Work Sans" w:cs="Arial"/>
          <w:lang w:eastAsia="es-ES"/>
        </w:rPr>
      </w:pPr>
    </w:p>
    <w:p w14:paraId="6439235F" w14:textId="2829FE6E" w:rsidR="002721FE" w:rsidRPr="00C67A69" w:rsidRDefault="002721FE" w:rsidP="00E96213">
      <w:pPr>
        <w:spacing w:after="0" w:line="240" w:lineRule="auto"/>
        <w:jc w:val="both"/>
        <w:rPr>
          <w:rFonts w:ascii="Arial" w:hAnsi="Arial" w:cs="Arial"/>
        </w:rPr>
      </w:pPr>
      <w:r w:rsidRPr="00694839">
        <w:rPr>
          <w:rFonts w:ascii="Work Sans" w:eastAsia="Times New Roman" w:hAnsi="Work Sans" w:cs="Arial"/>
          <w:lang w:eastAsia="es-ES"/>
        </w:rPr>
        <w:t xml:space="preserve">En consecuencia, </w:t>
      </w:r>
      <w:r w:rsidR="00C67A69">
        <w:rPr>
          <w:rFonts w:ascii="Work Sans" w:eastAsia="Times New Roman" w:hAnsi="Work Sans" w:cs="Arial"/>
          <w:lang w:eastAsia="es-ES"/>
        </w:rPr>
        <w:t xml:space="preserve">de </w:t>
      </w:r>
      <w:r w:rsidR="00767861" w:rsidRPr="00C67A69">
        <w:rPr>
          <w:rFonts w:ascii="Work Sans" w:eastAsia="Times New Roman" w:hAnsi="Work Sans" w:cs="Arial"/>
          <w:lang w:eastAsia="es-ES"/>
        </w:rPr>
        <w:t>con</w:t>
      </w:r>
      <w:r w:rsidR="00C67A69">
        <w:rPr>
          <w:rFonts w:ascii="Work Sans" w:eastAsia="Times New Roman" w:hAnsi="Work Sans" w:cs="Arial"/>
          <w:lang w:eastAsia="es-ES"/>
        </w:rPr>
        <w:t>formidad con la</w:t>
      </w:r>
      <w:r w:rsidR="00767861" w:rsidRPr="00C67A69">
        <w:rPr>
          <w:rFonts w:ascii="Work Sans" w:eastAsia="Times New Roman" w:hAnsi="Work Sans" w:cs="Arial"/>
          <w:lang w:eastAsia="es-ES"/>
        </w:rPr>
        <w:t xml:space="preserve"> información </w:t>
      </w:r>
      <w:r w:rsidR="00C67A69">
        <w:rPr>
          <w:rFonts w:ascii="Work Sans" w:eastAsia="Times New Roman" w:hAnsi="Work Sans" w:cs="Arial"/>
          <w:lang w:eastAsia="es-ES"/>
        </w:rPr>
        <w:t xml:space="preserve">que reposa en </w:t>
      </w:r>
      <w:r w:rsidR="00767861" w:rsidRPr="00C67A69">
        <w:rPr>
          <w:rFonts w:ascii="Work Sans" w:eastAsia="Times New Roman" w:hAnsi="Work Sans" w:cs="Arial"/>
          <w:lang w:eastAsia="es-ES"/>
        </w:rPr>
        <w:t>el Sistema Único de Información (S</w:t>
      </w:r>
      <w:r w:rsidR="00C67A69">
        <w:rPr>
          <w:rFonts w:ascii="Work Sans" w:eastAsia="Times New Roman" w:hAnsi="Work Sans" w:cs="Arial"/>
          <w:lang w:eastAsia="es-ES"/>
        </w:rPr>
        <w:t>UI), de la Superintendencia de Servicios P</w:t>
      </w:r>
      <w:r w:rsidR="00767861" w:rsidRPr="00C67A69">
        <w:rPr>
          <w:rFonts w:ascii="Work Sans" w:eastAsia="Times New Roman" w:hAnsi="Work Sans" w:cs="Arial"/>
          <w:lang w:eastAsia="es-ES"/>
        </w:rPr>
        <w:t>úblicos, en el departamento de Amazonas se presentan los precios por kg de GLP más elevados del territorio nacional</w:t>
      </w:r>
      <w:r w:rsidR="00767861">
        <w:rPr>
          <w:rFonts w:ascii="Work Sans" w:eastAsia="Times New Roman" w:hAnsi="Work Sans" w:cs="Arial"/>
          <w:lang w:eastAsia="es-ES"/>
        </w:rPr>
        <w:t xml:space="preserve">, </w:t>
      </w:r>
      <w:r w:rsidR="00DB1116">
        <w:rPr>
          <w:rFonts w:ascii="Work Sans" w:eastAsia="Times New Roman" w:hAnsi="Work Sans" w:cs="Arial"/>
          <w:lang w:eastAsia="es-ES"/>
        </w:rPr>
        <w:t xml:space="preserve">con el acto administrativo se incluirán </w:t>
      </w:r>
      <w:r w:rsidRPr="000E7D38">
        <w:rPr>
          <w:rFonts w:ascii="Work Sans" w:hAnsi="Work Sans" w:cs="Arial"/>
        </w:rPr>
        <w:t>los usuarios de</w:t>
      </w:r>
      <w:r w:rsidR="007A6412">
        <w:rPr>
          <w:rFonts w:ascii="Work Sans" w:hAnsi="Work Sans" w:cs="Arial"/>
        </w:rPr>
        <w:t xml:space="preserve"> comunidades indígenas y </w:t>
      </w:r>
      <w:r w:rsidR="007A6412" w:rsidRPr="0071436F">
        <w:rPr>
          <w:rFonts w:ascii="Work Sans" w:hAnsi="Work Sans" w:cs="Arial"/>
        </w:rPr>
        <w:t>a usuarios de</w:t>
      </w:r>
      <w:r w:rsidRPr="000E7D38">
        <w:rPr>
          <w:rFonts w:ascii="Work Sans" w:hAnsi="Work Sans" w:cs="Arial"/>
        </w:rPr>
        <w:t xml:space="preserve"> estratos 1 y 2 del departamento del Amazonas para ser beneficiarios de los subsidios al consumo de GLP distribuidor por cilindros, con el fin de garantizar la prestación de este servicio público domiciliario a la población más vulnerable, teniendo en cuenta la disponibilidad presupuestal asignada para estos efectos en cada anualidad</w:t>
      </w:r>
      <w:r>
        <w:rPr>
          <w:rFonts w:ascii="Arial" w:hAnsi="Arial" w:cs="Arial"/>
        </w:rPr>
        <w:t>.</w:t>
      </w:r>
    </w:p>
    <w:p w14:paraId="4FF7652D" w14:textId="77777777" w:rsidR="001112CA" w:rsidRPr="0071436F" w:rsidRDefault="001112CA" w:rsidP="001112CA">
      <w:pPr>
        <w:spacing w:after="0" w:line="240" w:lineRule="auto"/>
        <w:ind w:left="720"/>
        <w:rPr>
          <w:rFonts w:ascii="Work Sans" w:eastAsia="Times New Roman" w:hAnsi="Work Sans" w:cs="Arial"/>
          <w:b/>
          <w:lang w:eastAsia="es-ES"/>
        </w:rPr>
      </w:pPr>
    </w:p>
    <w:p w14:paraId="04505C57" w14:textId="5A3F63BF" w:rsidR="001112CA" w:rsidRPr="0071436F" w:rsidRDefault="00C67A69" w:rsidP="001112CA">
      <w:pPr>
        <w:numPr>
          <w:ilvl w:val="0"/>
          <w:numId w:val="7"/>
        </w:numPr>
        <w:spacing w:after="0" w:line="240" w:lineRule="auto"/>
        <w:rPr>
          <w:rFonts w:ascii="Work Sans" w:eastAsia="Times New Roman" w:hAnsi="Work Sans" w:cs="Arial"/>
          <w:b/>
          <w:lang w:eastAsia="es-ES"/>
        </w:rPr>
      </w:pPr>
      <w:r>
        <w:rPr>
          <w:rFonts w:ascii="Work Sans" w:eastAsia="Times New Roman" w:hAnsi="Work Sans" w:cs="Arial"/>
          <w:b/>
          <w:lang w:eastAsia="es-ES"/>
        </w:rPr>
        <w:t>Á</w:t>
      </w:r>
      <w:r w:rsidR="001112CA" w:rsidRPr="0071436F">
        <w:rPr>
          <w:rFonts w:ascii="Work Sans" w:eastAsia="Times New Roman" w:hAnsi="Work Sans" w:cs="Arial"/>
          <w:b/>
          <w:lang w:eastAsia="es-ES"/>
        </w:rPr>
        <w:t>MBITO DE APLICACIÓN</w:t>
      </w:r>
    </w:p>
    <w:p w14:paraId="19F31C45" w14:textId="77777777" w:rsidR="001112CA" w:rsidRPr="0071436F" w:rsidRDefault="001112CA" w:rsidP="001112CA">
      <w:pPr>
        <w:tabs>
          <w:tab w:val="left" w:pos="426"/>
        </w:tabs>
        <w:spacing w:after="0" w:line="240" w:lineRule="auto"/>
        <w:jc w:val="both"/>
        <w:rPr>
          <w:rFonts w:ascii="Work Sans" w:eastAsia="Arial" w:hAnsi="Work Sans" w:cs="Arial"/>
        </w:rPr>
      </w:pPr>
    </w:p>
    <w:p w14:paraId="1E90526B" w14:textId="77777777" w:rsidR="001112CA" w:rsidRPr="0071436F" w:rsidRDefault="001112CA" w:rsidP="001112CA">
      <w:pPr>
        <w:shd w:val="clear" w:color="auto" w:fill="FFFFFF"/>
        <w:spacing w:after="0" w:line="240" w:lineRule="auto"/>
        <w:ind w:right="51"/>
        <w:jc w:val="both"/>
        <w:rPr>
          <w:rFonts w:ascii="Work Sans" w:hAnsi="Work Sans" w:cs="Arial"/>
        </w:rPr>
      </w:pPr>
      <w:r w:rsidRPr="0071436F">
        <w:rPr>
          <w:rFonts w:ascii="Work Sans" w:hAnsi="Work Sans" w:cs="Arial"/>
        </w:rPr>
        <w:t>La presente resolución establece los parámetros y los lineamientos para la entrega de subsidios a usuarios de comunidades indígenas y a usuarios de estratos 1 y 2 por el consumo de GLP distribuido mediante cilindros en los Departamentos de Amazonas, Caquetá, Nariño, Putumayo y San Andrés, Providencia y Santa Catalina, y a las comunidades indígenas y los usuarios de estratos 1 y 2 de las zonas rurales de  los municipios del Departamento del Cauca que hacen parte de las Áreas Protegidas del Sistema de Parques Nacionales Naturales con jurisdicción en el Macizo Colombiano.</w:t>
      </w:r>
    </w:p>
    <w:p w14:paraId="745ADE56" w14:textId="77777777" w:rsidR="001112CA" w:rsidRPr="0071436F" w:rsidRDefault="001112CA" w:rsidP="001112CA">
      <w:pPr>
        <w:autoSpaceDE w:val="0"/>
        <w:autoSpaceDN w:val="0"/>
        <w:adjustRightInd w:val="0"/>
        <w:spacing w:after="0" w:line="240" w:lineRule="auto"/>
        <w:jc w:val="both"/>
        <w:rPr>
          <w:rFonts w:ascii="Work Sans" w:eastAsia="Times New Roman" w:hAnsi="Work Sans" w:cs="Arial"/>
          <w:color w:val="000000"/>
          <w:lang w:eastAsia="es-CO"/>
        </w:rPr>
      </w:pPr>
    </w:p>
    <w:p w14:paraId="5D106FBE" w14:textId="77777777" w:rsidR="001112CA" w:rsidRPr="0071436F" w:rsidRDefault="001112CA" w:rsidP="001112CA">
      <w:pPr>
        <w:numPr>
          <w:ilvl w:val="0"/>
          <w:numId w:val="7"/>
        </w:numPr>
        <w:spacing w:after="0" w:line="240" w:lineRule="auto"/>
        <w:rPr>
          <w:rFonts w:ascii="Work Sans" w:eastAsia="Times New Roman" w:hAnsi="Work Sans" w:cs="Arial"/>
          <w:b/>
          <w:lang w:eastAsia="es-ES"/>
        </w:rPr>
      </w:pPr>
      <w:r w:rsidRPr="0071436F">
        <w:rPr>
          <w:rFonts w:ascii="Work Sans" w:eastAsia="Times New Roman" w:hAnsi="Work Sans" w:cs="Arial"/>
          <w:b/>
          <w:lang w:eastAsia="es-ES"/>
        </w:rPr>
        <w:t>VIABILIDAD JURÍDICA</w:t>
      </w:r>
    </w:p>
    <w:p w14:paraId="5A9BB872" w14:textId="77777777" w:rsidR="001112CA" w:rsidRPr="0071436F" w:rsidRDefault="001112CA" w:rsidP="001112CA">
      <w:pPr>
        <w:spacing w:after="0" w:line="240" w:lineRule="auto"/>
        <w:rPr>
          <w:rFonts w:ascii="Work Sans" w:eastAsia="Times New Roman" w:hAnsi="Work Sans" w:cs="Arial"/>
          <w:b/>
          <w:lang w:eastAsia="es-ES"/>
        </w:rPr>
      </w:pPr>
    </w:p>
    <w:p w14:paraId="22FFC0E3" w14:textId="77777777" w:rsidR="001112CA" w:rsidRPr="0071436F" w:rsidRDefault="001112CA" w:rsidP="001112CA">
      <w:pPr>
        <w:spacing w:after="0" w:line="240" w:lineRule="auto"/>
        <w:rPr>
          <w:rFonts w:ascii="Work Sans" w:eastAsia="Times New Roman" w:hAnsi="Work Sans" w:cs="Arial"/>
          <w:b/>
          <w:lang w:val="es-ES_tradnl" w:eastAsia="es-ES"/>
        </w:rPr>
      </w:pPr>
      <w:r w:rsidRPr="0071436F">
        <w:rPr>
          <w:rFonts w:ascii="Work Sans" w:eastAsia="Times New Roman" w:hAnsi="Work Sans" w:cs="Arial"/>
          <w:b/>
          <w:lang w:val="es-ES_tradnl" w:eastAsia="es-ES"/>
        </w:rPr>
        <w:t>3.1. Análisis expreso y detallado de las normas que otorgan la competencia para la expedición del correspondiente acto</w:t>
      </w:r>
    </w:p>
    <w:p w14:paraId="48978547" w14:textId="77777777" w:rsidR="001112CA" w:rsidRPr="0071436F" w:rsidRDefault="001112CA" w:rsidP="001112CA">
      <w:pPr>
        <w:spacing w:after="0" w:line="240" w:lineRule="auto"/>
        <w:ind w:right="284"/>
        <w:jc w:val="both"/>
        <w:rPr>
          <w:rFonts w:ascii="Work Sans" w:hAnsi="Work Sans" w:cs="Arial"/>
        </w:rPr>
      </w:pPr>
    </w:p>
    <w:p w14:paraId="77E0D333" w14:textId="77777777" w:rsidR="001112CA" w:rsidRPr="0071436F" w:rsidRDefault="001112CA" w:rsidP="001112CA">
      <w:pPr>
        <w:autoSpaceDE w:val="0"/>
        <w:autoSpaceDN w:val="0"/>
        <w:adjustRightInd w:val="0"/>
        <w:spacing w:after="0" w:line="240" w:lineRule="auto"/>
        <w:jc w:val="both"/>
        <w:rPr>
          <w:rFonts w:ascii="Work Sans" w:hAnsi="Work Sans" w:cs="Arial"/>
        </w:rPr>
      </w:pPr>
      <w:r w:rsidRPr="0071436F">
        <w:rPr>
          <w:rFonts w:ascii="Work Sans" w:hAnsi="Work Sans" w:cs="Arial"/>
        </w:rPr>
        <w:t>El proyecto de Resolución se expide con base en las facultades conferidas en el artículo 99 de la Ley 142 de 1994 el cual señala las reglas que deberán tener en cuenta las entidades autorizadas por el artículo 368 de la Constitución Política para el otorgamiento de subsidios a las personas de menores ingresos y facilitar su acceso a los servicios públicos domiciliarios.</w:t>
      </w:r>
    </w:p>
    <w:p w14:paraId="071346A3" w14:textId="77777777" w:rsidR="001112CA" w:rsidRPr="0071436F" w:rsidRDefault="001112CA" w:rsidP="001112CA">
      <w:pPr>
        <w:spacing w:after="0" w:line="240" w:lineRule="auto"/>
        <w:jc w:val="both"/>
        <w:rPr>
          <w:rFonts w:ascii="Work Sans" w:hAnsi="Work Sans" w:cs="Arial"/>
        </w:rPr>
      </w:pPr>
    </w:p>
    <w:p w14:paraId="09899F7A" w14:textId="5A49CBD7" w:rsidR="001112CA" w:rsidRPr="0071436F" w:rsidRDefault="001112CA" w:rsidP="001112CA">
      <w:pPr>
        <w:spacing w:after="0" w:line="240" w:lineRule="auto"/>
        <w:jc w:val="both"/>
        <w:rPr>
          <w:rFonts w:ascii="Work Sans" w:hAnsi="Work Sans" w:cs="Arial"/>
        </w:rPr>
      </w:pPr>
      <w:r w:rsidRPr="0071436F">
        <w:rPr>
          <w:rFonts w:ascii="Work Sans" w:hAnsi="Work Sans" w:cs="Arial"/>
        </w:rPr>
        <w:t xml:space="preserve">El Congreso de la República a través del artículo 145 de la Ley 1940 de 2018 </w:t>
      </w:r>
      <w:r w:rsidRPr="0071436F">
        <w:rPr>
          <w:rFonts w:ascii="Work Sans" w:hAnsi="Work Sans" w:cs="Arial"/>
          <w:i/>
        </w:rPr>
        <w:t xml:space="preserve">“Por la cual se decreta el presupuesto de rentas y recursos de capital y Ley de Apropiaciones para la vigencia fiscal del 1º de enero al 31 de diciembre de 2019”, </w:t>
      </w:r>
      <w:r w:rsidRPr="0071436F">
        <w:rPr>
          <w:rFonts w:ascii="Work Sans" w:hAnsi="Work Sans" w:cs="Arial"/>
        </w:rPr>
        <w:t>con la finalidad de proteger el medio ambiente, dispone que durante la vigencia de la mencionada ley, el Ministerio de Minas y Energía podrá ampliar la cobertura del plan piloto de subsidios al GLP en cilindros, al Departamento del Amazonas para el beneficio de las comunidades indígenas y los usuarios de los estratos 1 y 2.</w:t>
      </w:r>
    </w:p>
    <w:p w14:paraId="7FB7D100" w14:textId="77777777" w:rsidR="001112CA" w:rsidRPr="0071436F" w:rsidRDefault="001112CA" w:rsidP="001112CA">
      <w:pPr>
        <w:spacing w:after="0" w:line="240" w:lineRule="auto"/>
        <w:jc w:val="both"/>
        <w:rPr>
          <w:rFonts w:ascii="Work Sans" w:hAnsi="Work Sans" w:cs="Arial"/>
          <w:i/>
        </w:rPr>
      </w:pPr>
    </w:p>
    <w:p w14:paraId="49D9EA5B" w14:textId="77777777" w:rsidR="001112CA" w:rsidRPr="0071436F" w:rsidRDefault="001112CA" w:rsidP="001112CA">
      <w:pPr>
        <w:spacing w:after="0" w:line="240" w:lineRule="auto"/>
        <w:jc w:val="both"/>
        <w:rPr>
          <w:rFonts w:ascii="Work Sans" w:hAnsi="Work Sans" w:cs="Arial"/>
        </w:rPr>
      </w:pPr>
      <w:r w:rsidRPr="0071436F">
        <w:rPr>
          <w:rFonts w:ascii="Work Sans" w:hAnsi="Work Sans" w:cs="Arial"/>
        </w:rPr>
        <w:lastRenderedPageBreak/>
        <w:t>Respecto de las reglas para la asignación de subsidios que establece el artículo 99 de la Ley 142 de 1994, el Decreto 2195 de 2013, el cual fundamenta la vigencia jurídica del proyecto de Resolución que se propone cumple con las obligaciones legales así:</w:t>
      </w:r>
    </w:p>
    <w:p w14:paraId="48007A8D" w14:textId="77777777" w:rsidR="001112CA" w:rsidRPr="0071436F" w:rsidRDefault="001112CA" w:rsidP="001112CA">
      <w:pPr>
        <w:spacing w:after="0" w:line="240" w:lineRule="auto"/>
        <w:jc w:val="both"/>
        <w:rPr>
          <w:rFonts w:ascii="Work Sans" w:hAnsi="Work Sans" w:cs="Arial"/>
        </w:rPr>
      </w:pPr>
    </w:p>
    <w:p w14:paraId="556A56BA" w14:textId="77777777" w:rsidR="001112CA" w:rsidRPr="0071436F" w:rsidRDefault="001112CA" w:rsidP="001112CA">
      <w:pPr>
        <w:numPr>
          <w:ilvl w:val="0"/>
          <w:numId w:val="9"/>
        </w:numPr>
        <w:spacing w:after="0" w:line="240" w:lineRule="auto"/>
        <w:ind w:left="426"/>
        <w:jc w:val="both"/>
        <w:rPr>
          <w:rFonts w:ascii="Work Sans" w:hAnsi="Work Sans" w:cs="Arial"/>
        </w:rPr>
      </w:pPr>
      <w:r w:rsidRPr="0071436F">
        <w:rPr>
          <w:rFonts w:ascii="Work Sans" w:hAnsi="Work Sans" w:cs="Arial"/>
        </w:rPr>
        <w:t>Indicar específicamente el tipo de servicio subsidiado.</w:t>
      </w:r>
    </w:p>
    <w:p w14:paraId="6B8DFFCD" w14:textId="77777777" w:rsidR="001112CA" w:rsidRPr="0071436F" w:rsidRDefault="001112CA" w:rsidP="001112CA">
      <w:pPr>
        <w:numPr>
          <w:ilvl w:val="0"/>
          <w:numId w:val="9"/>
        </w:numPr>
        <w:spacing w:after="0" w:line="240" w:lineRule="auto"/>
        <w:ind w:left="426"/>
        <w:jc w:val="both"/>
        <w:rPr>
          <w:rFonts w:ascii="Work Sans" w:hAnsi="Work Sans" w:cs="Arial"/>
        </w:rPr>
      </w:pPr>
      <w:r w:rsidRPr="0071436F">
        <w:rPr>
          <w:rFonts w:ascii="Work Sans" w:hAnsi="Work Sans" w:cs="Arial"/>
        </w:rPr>
        <w:t>Señalar la entidad prestadora que otorgará el subsidio.</w:t>
      </w:r>
    </w:p>
    <w:p w14:paraId="419B3A55" w14:textId="3B289D20" w:rsidR="001112CA" w:rsidRPr="0071436F" w:rsidRDefault="001112CA" w:rsidP="001112CA">
      <w:pPr>
        <w:numPr>
          <w:ilvl w:val="0"/>
          <w:numId w:val="9"/>
        </w:numPr>
        <w:spacing w:after="0" w:line="240" w:lineRule="auto"/>
        <w:ind w:left="426"/>
        <w:jc w:val="both"/>
        <w:rPr>
          <w:rFonts w:ascii="Work Sans" w:hAnsi="Work Sans" w:cs="Arial"/>
        </w:rPr>
      </w:pPr>
      <w:r w:rsidRPr="0071436F">
        <w:rPr>
          <w:rFonts w:ascii="Work Sans" w:hAnsi="Work Sans" w:cs="Arial"/>
        </w:rPr>
        <w:t xml:space="preserve">Descontar del valor de la factura el monto del subsidio sobre el valor que </w:t>
      </w:r>
      <w:r w:rsidR="00DB1116">
        <w:rPr>
          <w:rFonts w:ascii="Work Sans" w:hAnsi="Work Sans" w:cs="Arial"/>
        </w:rPr>
        <w:t>e</w:t>
      </w:r>
      <w:r w:rsidRPr="0071436F">
        <w:rPr>
          <w:rFonts w:ascii="Work Sans" w:hAnsi="Work Sans" w:cs="Arial"/>
        </w:rPr>
        <w:t>ste debe cancelar.</w:t>
      </w:r>
    </w:p>
    <w:p w14:paraId="7B19A737" w14:textId="77777777" w:rsidR="001112CA" w:rsidRPr="0071436F" w:rsidRDefault="001112CA" w:rsidP="001112CA">
      <w:pPr>
        <w:numPr>
          <w:ilvl w:val="0"/>
          <w:numId w:val="9"/>
        </w:numPr>
        <w:spacing w:after="0" w:line="240" w:lineRule="auto"/>
        <w:ind w:left="426"/>
        <w:jc w:val="both"/>
        <w:rPr>
          <w:rFonts w:ascii="Work Sans" w:hAnsi="Work Sans" w:cs="Arial"/>
        </w:rPr>
      </w:pPr>
      <w:r w:rsidRPr="0071436F">
        <w:rPr>
          <w:rFonts w:ascii="Work Sans" w:hAnsi="Work Sans" w:cs="Arial"/>
        </w:rPr>
        <w:t>Limitar el monto máximo a subsidiar, al valor de los consumos básicos o de subsistencia específicamente.</w:t>
      </w:r>
    </w:p>
    <w:p w14:paraId="2230EF1B" w14:textId="20209CC9" w:rsidR="001112CA" w:rsidRPr="0071436F" w:rsidRDefault="001112CA" w:rsidP="001112CA">
      <w:pPr>
        <w:numPr>
          <w:ilvl w:val="0"/>
          <w:numId w:val="9"/>
        </w:numPr>
        <w:spacing w:after="0" w:line="240" w:lineRule="auto"/>
        <w:ind w:left="426"/>
        <w:jc w:val="both"/>
        <w:rPr>
          <w:rFonts w:ascii="Work Sans" w:hAnsi="Work Sans" w:cs="Arial"/>
        </w:rPr>
      </w:pPr>
      <w:r w:rsidRPr="0071436F">
        <w:rPr>
          <w:rFonts w:ascii="Work Sans" w:hAnsi="Work Sans" w:cs="Arial"/>
        </w:rPr>
        <w:t xml:space="preserve">Circunscribir el subsidio a un máximo de 40% del costo para el estrato 2, y de 50% de </w:t>
      </w:r>
      <w:r w:rsidR="00DB1116">
        <w:rPr>
          <w:rFonts w:ascii="Work Sans" w:hAnsi="Work Sans" w:cs="Arial"/>
        </w:rPr>
        <w:t>e</w:t>
      </w:r>
      <w:r w:rsidRPr="0071436F">
        <w:rPr>
          <w:rFonts w:ascii="Work Sans" w:hAnsi="Work Sans" w:cs="Arial"/>
        </w:rPr>
        <w:t>ste para el estrato 1.</w:t>
      </w:r>
    </w:p>
    <w:p w14:paraId="4A5197AE" w14:textId="77777777" w:rsidR="001112CA" w:rsidRPr="0071436F" w:rsidRDefault="001112CA" w:rsidP="001112CA">
      <w:pPr>
        <w:spacing w:after="0" w:line="240" w:lineRule="auto"/>
        <w:jc w:val="both"/>
        <w:rPr>
          <w:rFonts w:ascii="Work Sans" w:hAnsi="Work Sans" w:cs="Arial"/>
        </w:rPr>
      </w:pPr>
    </w:p>
    <w:p w14:paraId="7E251551" w14:textId="77777777" w:rsidR="001112CA" w:rsidRPr="0071436F" w:rsidRDefault="001112CA" w:rsidP="001112CA">
      <w:pPr>
        <w:autoSpaceDE w:val="0"/>
        <w:autoSpaceDN w:val="0"/>
        <w:adjustRightInd w:val="0"/>
        <w:spacing w:after="0" w:line="240" w:lineRule="auto"/>
        <w:rPr>
          <w:rFonts w:ascii="Work Sans" w:hAnsi="Work Sans" w:cs="Arial"/>
          <w:b/>
        </w:rPr>
      </w:pPr>
      <w:r w:rsidRPr="0071436F">
        <w:rPr>
          <w:rFonts w:ascii="Work Sans" w:hAnsi="Work Sans" w:cs="Arial"/>
          <w:b/>
        </w:rPr>
        <w:t>3.2. La vigencia de la ley o norma reglamentada o desarrollada</w:t>
      </w:r>
    </w:p>
    <w:p w14:paraId="6FAFAD9F" w14:textId="77777777" w:rsidR="001112CA" w:rsidRPr="0071436F" w:rsidRDefault="001112CA" w:rsidP="001112CA">
      <w:pPr>
        <w:autoSpaceDE w:val="0"/>
        <w:autoSpaceDN w:val="0"/>
        <w:adjustRightInd w:val="0"/>
        <w:spacing w:after="0" w:line="240" w:lineRule="auto"/>
        <w:rPr>
          <w:rFonts w:ascii="Work Sans" w:hAnsi="Work Sans" w:cs="Arial"/>
          <w:b/>
        </w:rPr>
      </w:pPr>
    </w:p>
    <w:p w14:paraId="559970EA" w14:textId="052AC51D" w:rsidR="00466A6A" w:rsidRDefault="001112CA" w:rsidP="001112CA">
      <w:pPr>
        <w:spacing w:after="0" w:line="240" w:lineRule="auto"/>
        <w:jc w:val="both"/>
        <w:rPr>
          <w:rFonts w:ascii="Work Sans" w:hAnsi="Work Sans" w:cs="Arial"/>
        </w:rPr>
      </w:pPr>
      <w:r w:rsidRPr="0071436F">
        <w:rPr>
          <w:rFonts w:ascii="Work Sans" w:hAnsi="Work Sans" w:cs="Arial"/>
        </w:rPr>
        <w:t>La Ley 142 de 1994 fue publicada en el Diario Oficial número 41433 de julio 11 de 1994 y el Artículo 99 de la misma se encuentra vigente. El Decreto 2195 de 2013 fue publicado en el Diario Oficial número 48936 de</w:t>
      </w:r>
      <w:r w:rsidR="00466A6A">
        <w:rPr>
          <w:rFonts w:ascii="Work Sans" w:hAnsi="Work Sans" w:cs="Arial"/>
        </w:rPr>
        <w:t>l 7 de</w:t>
      </w:r>
      <w:r w:rsidRPr="0071436F">
        <w:rPr>
          <w:rFonts w:ascii="Work Sans" w:hAnsi="Work Sans" w:cs="Arial"/>
        </w:rPr>
        <w:t xml:space="preserve"> </w:t>
      </w:r>
      <w:r w:rsidR="00466A6A">
        <w:rPr>
          <w:rFonts w:ascii="Work Sans" w:hAnsi="Work Sans" w:cs="Arial"/>
        </w:rPr>
        <w:t>o</w:t>
      </w:r>
      <w:r w:rsidRPr="0071436F">
        <w:rPr>
          <w:rFonts w:ascii="Work Sans" w:hAnsi="Work Sans" w:cs="Arial"/>
        </w:rPr>
        <w:t xml:space="preserve">ctubre de 2013 e igualmente, se encuentra vigente. </w:t>
      </w:r>
    </w:p>
    <w:p w14:paraId="27FE2B89" w14:textId="77777777" w:rsidR="00466A6A" w:rsidRDefault="00466A6A" w:rsidP="001112CA">
      <w:pPr>
        <w:spacing w:after="0" w:line="240" w:lineRule="auto"/>
        <w:jc w:val="both"/>
        <w:rPr>
          <w:rFonts w:ascii="Work Sans" w:hAnsi="Work Sans" w:cs="Arial"/>
        </w:rPr>
      </w:pPr>
    </w:p>
    <w:p w14:paraId="41A4ADDD" w14:textId="5D769D6A" w:rsidR="001112CA" w:rsidRPr="0071436F" w:rsidRDefault="001112CA" w:rsidP="001112CA">
      <w:pPr>
        <w:spacing w:after="0" w:line="240" w:lineRule="auto"/>
        <w:jc w:val="both"/>
        <w:rPr>
          <w:rFonts w:ascii="Work Sans" w:hAnsi="Work Sans" w:cs="Arial"/>
        </w:rPr>
      </w:pPr>
      <w:r w:rsidRPr="0071436F">
        <w:rPr>
          <w:rFonts w:ascii="Work Sans" w:hAnsi="Work Sans" w:cs="Arial"/>
        </w:rPr>
        <w:t>La</w:t>
      </w:r>
      <w:r w:rsidR="00466A6A">
        <w:rPr>
          <w:rFonts w:ascii="Work Sans" w:hAnsi="Work Sans" w:cs="Arial"/>
        </w:rPr>
        <w:t>s</w:t>
      </w:r>
      <w:r w:rsidRPr="0071436F">
        <w:rPr>
          <w:rFonts w:ascii="Work Sans" w:hAnsi="Work Sans" w:cs="Arial"/>
        </w:rPr>
        <w:t xml:space="preserve"> </w:t>
      </w:r>
      <w:r w:rsidR="00466A6A">
        <w:rPr>
          <w:rFonts w:ascii="Work Sans" w:hAnsi="Work Sans" w:cs="Arial"/>
        </w:rPr>
        <w:t>r</w:t>
      </w:r>
      <w:r w:rsidRPr="0071436F">
        <w:rPr>
          <w:rFonts w:ascii="Work Sans" w:hAnsi="Work Sans" w:cs="Arial"/>
        </w:rPr>
        <w:t>esoluci</w:t>
      </w:r>
      <w:r w:rsidR="00466A6A">
        <w:rPr>
          <w:rFonts w:ascii="Work Sans" w:hAnsi="Work Sans" w:cs="Arial"/>
        </w:rPr>
        <w:t>ones</w:t>
      </w:r>
      <w:r w:rsidRPr="0071436F">
        <w:rPr>
          <w:rFonts w:ascii="Work Sans" w:hAnsi="Work Sans" w:cs="Arial"/>
        </w:rPr>
        <w:t xml:space="preserve"> 40720 de 2016</w:t>
      </w:r>
      <w:r w:rsidR="00466A6A">
        <w:rPr>
          <w:rFonts w:ascii="Work Sans" w:hAnsi="Work Sans" w:cs="Arial"/>
        </w:rPr>
        <w:t xml:space="preserve"> </w:t>
      </w:r>
      <w:r w:rsidR="00694839" w:rsidRPr="0071436F">
        <w:rPr>
          <w:rFonts w:ascii="Work Sans" w:hAnsi="Work Sans" w:cs="Arial"/>
        </w:rPr>
        <w:t xml:space="preserve">y </w:t>
      </w:r>
      <w:r w:rsidR="00694839">
        <w:rPr>
          <w:rFonts w:ascii="Work Sans" w:hAnsi="Work Sans" w:cs="Arial"/>
        </w:rPr>
        <w:t>40079</w:t>
      </w:r>
      <w:r w:rsidR="00466A6A" w:rsidRPr="0071436F">
        <w:rPr>
          <w:rFonts w:ascii="Work Sans" w:hAnsi="Work Sans" w:cs="Arial"/>
        </w:rPr>
        <w:t xml:space="preserve"> de 2017</w:t>
      </w:r>
      <w:r w:rsidR="00466A6A">
        <w:rPr>
          <w:rFonts w:ascii="Work Sans" w:hAnsi="Work Sans" w:cs="Arial"/>
        </w:rPr>
        <w:t xml:space="preserve"> fueron publicadas en los Diarios Oficiales 49.947 del 27 de junio de 2016 y 50.134 del 1 de febrero de 2017</w:t>
      </w:r>
      <w:r w:rsidR="00694839">
        <w:rPr>
          <w:rFonts w:ascii="Work Sans" w:hAnsi="Work Sans" w:cs="Arial"/>
        </w:rPr>
        <w:t>, respectivamente,</w:t>
      </w:r>
      <w:r w:rsidR="00466A6A">
        <w:rPr>
          <w:rFonts w:ascii="Work Sans" w:hAnsi="Work Sans" w:cs="Arial"/>
        </w:rPr>
        <w:t xml:space="preserve"> y </w:t>
      </w:r>
      <w:r w:rsidRPr="0071436F">
        <w:rPr>
          <w:rFonts w:ascii="Work Sans" w:hAnsi="Work Sans" w:cs="Arial"/>
        </w:rPr>
        <w:t>se encuentran vigentes.</w:t>
      </w:r>
    </w:p>
    <w:p w14:paraId="7E6B8C5D" w14:textId="77777777" w:rsidR="001112CA" w:rsidRPr="0071436F" w:rsidRDefault="001112CA" w:rsidP="001112CA">
      <w:pPr>
        <w:spacing w:after="0" w:line="240" w:lineRule="auto"/>
        <w:jc w:val="both"/>
        <w:rPr>
          <w:rFonts w:ascii="Work Sans" w:hAnsi="Work Sans" w:cs="Arial"/>
        </w:rPr>
      </w:pPr>
    </w:p>
    <w:p w14:paraId="7EF4C0BF" w14:textId="77777777" w:rsidR="001112CA" w:rsidRPr="0071436F" w:rsidRDefault="001112CA" w:rsidP="001112CA">
      <w:pPr>
        <w:autoSpaceDE w:val="0"/>
        <w:autoSpaceDN w:val="0"/>
        <w:adjustRightInd w:val="0"/>
        <w:spacing w:after="0" w:line="240" w:lineRule="auto"/>
        <w:jc w:val="both"/>
        <w:rPr>
          <w:rFonts w:ascii="Work Sans" w:hAnsi="Work Sans" w:cs="Arial"/>
          <w:b/>
        </w:rPr>
      </w:pPr>
      <w:r w:rsidRPr="0071436F">
        <w:rPr>
          <w:rFonts w:ascii="Work Sans" w:hAnsi="Work Sans" w:cs="Arial"/>
          <w:b/>
        </w:rPr>
        <w:t>3.3. Disposiciones derogadas, subrogadas, modificadas, adicionadas o sustituidas, si alguno de estos efectos se produce con la expedición del respectivo acto</w:t>
      </w:r>
    </w:p>
    <w:p w14:paraId="0E934E0F" w14:textId="77777777" w:rsidR="001112CA" w:rsidRPr="0071436F" w:rsidRDefault="001112CA" w:rsidP="001112CA">
      <w:pPr>
        <w:spacing w:after="0" w:line="240" w:lineRule="auto"/>
        <w:jc w:val="both"/>
        <w:rPr>
          <w:rFonts w:ascii="Work Sans" w:hAnsi="Work Sans" w:cs="Arial"/>
        </w:rPr>
      </w:pPr>
    </w:p>
    <w:p w14:paraId="442653DD" w14:textId="2A81CC51" w:rsidR="001112CA" w:rsidRPr="0071436F" w:rsidRDefault="001112CA" w:rsidP="001112CA">
      <w:pPr>
        <w:spacing w:line="240" w:lineRule="auto"/>
        <w:jc w:val="both"/>
        <w:rPr>
          <w:rFonts w:ascii="Work Sans" w:hAnsi="Work Sans" w:cs="Arial"/>
        </w:rPr>
      </w:pPr>
      <w:r w:rsidRPr="0071436F">
        <w:rPr>
          <w:rFonts w:ascii="Work Sans" w:hAnsi="Work Sans" w:cs="Arial"/>
        </w:rPr>
        <w:t xml:space="preserve">Con este proyecto de resolución y con el fin de evitar la dispersión y proliferación normativa, se considera procedente derogar la Resolución 40079 del 28 de enero 2017, por la cual se modificó el </w:t>
      </w:r>
      <w:r w:rsidR="00466A6A">
        <w:rPr>
          <w:rFonts w:ascii="Work Sans" w:hAnsi="Work Sans" w:cs="Arial"/>
        </w:rPr>
        <w:t>a</w:t>
      </w:r>
      <w:r w:rsidRPr="0071436F">
        <w:rPr>
          <w:rFonts w:ascii="Work Sans" w:hAnsi="Work Sans" w:cs="Arial"/>
        </w:rPr>
        <w:t xml:space="preserve">rtículo 1 de la Resolución 40720 de 2016. </w:t>
      </w:r>
    </w:p>
    <w:p w14:paraId="09B62BFF" w14:textId="77777777" w:rsidR="001112CA" w:rsidRPr="0071436F" w:rsidRDefault="001112CA" w:rsidP="001112CA">
      <w:pPr>
        <w:spacing w:after="0" w:line="240" w:lineRule="auto"/>
        <w:jc w:val="both"/>
        <w:rPr>
          <w:rFonts w:ascii="Work Sans" w:hAnsi="Work Sans" w:cs="Arial"/>
          <w:b/>
        </w:rPr>
      </w:pPr>
      <w:r w:rsidRPr="0071436F">
        <w:rPr>
          <w:rFonts w:ascii="Work Sans" w:eastAsia="Times New Roman" w:hAnsi="Work Sans" w:cs="Arial"/>
          <w:b/>
          <w:color w:val="222222"/>
          <w:lang w:eastAsia="es-CO"/>
        </w:rPr>
        <w:t>3.4. Revisión y análisis de las decisiones judiciales de los órganos de cierre de cada jurisdicción que pudieran tener impacto o ser relevantes para la expedición del acto</w:t>
      </w:r>
    </w:p>
    <w:p w14:paraId="2CC28DD6" w14:textId="77777777" w:rsidR="001112CA" w:rsidRPr="0071436F" w:rsidRDefault="001112CA" w:rsidP="001112CA">
      <w:pPr>
        <w:spacing w:after="0" w:line="240" w:lineRule="auto"/>
        <w:jc w:val="both"/>
        <w:rPr>
          <w:rFonts w:ascii="Work Sans" w:hAnsi="Work Sans" w:cs="Arial"/>
        </w:rPr>
      </w:pPr>
    </w:p>
    <w:p w14:paraId="3EC8070F" w14:textId="77777777" w:rsidR="001112CA" w:rsidRDefault="001112CA" w:rsidP="001112CA">
      <w:pPr>
        <w:spacing w:after="0" w:line="240" w:lineRule="auto"/>
        <w:jc w:val="both"/>
        <w:rPr>
          <w:rFonts w:ascii="Work Sans" w:hAnsi="Work Sans" w:cs="Arial"/>
        </w:rPr>
      </w:pPr>
      <w:r w:rsidRPr="0071436F">
        <w:rPr>
          <w:rFonts w:ascii="Work Sans" w:hAnsi="Work Sans" w:cs="Arial"/>
        </w:rPr>
        <w:t>No existen decisiones judiciales que generen impacto en la expedición del presente acto administrativo.</w:t>
      </w:r>
    </w:p>
    <w:p w14:paraId="52124743" w14:textId="77777777" w:rsidR="00851FCD" w:rsidRDefault="00851FCD" w:rsidP="001112CA">
      <w:pPr>
        <w:spacing w:after="0" w:line="240" w:lineRule="auto"/>
        <w:jc w:val="both"/>
        <w:rPr>
          <w:rFonts w:ascii="Work Sans" w:hAnsi="Work Sans" w:cs="Arial"/>
        </w:rPr>
      </w:pPr>
    </w:p>
    <w:p w14:paraId="5FC74DF0" w14:textId="77777777" w:rsidR="001112CA" w:rsidRPr="0071436F" w:rsidRDefault="001112CA" w:rsidP="001112CA">
      <w:pPr>
        <w:numPr>
          <w:ilvl w:val="0"/>
          <w:numId w:val="7"/>
        </w:numPr>
        <w:spacing w:after="0" w:line="240" w:lineRule="auto"/>
        <w:jc w:val="both"/>
        <w:rPr>
          <w:rFonts w:ascii="Work Sans" w:hAnsi="Work Sans" w:cs="Arial"/>
          <w:b/>
        </w:rPr>
      </w:pPr>
      <w:r w:rsidRPr="0071436F">
        <w:rPr>
          <w:rFonts w:ascii="Work Sans" w:hAnsi="Work Sans" w:cs="Arial"/>
          <w:b/>
        </w:rPr>
        <w:t>IMPACTO ECONÓMICO</w:t>
      </w:r>
    </w:p>
    <w:p w14:paraId="33320F36" w14:textId="77777777" w:rsidR="00CD4B47" w:rsidRPr="0071436F" w:rsidRDefault="00CD4B47" w:rsidP="001112CA">
      <w:pPr>
        <w:autoSpaceDE w:val="0"/>
        <w:autoSpaceDN w:val="0"/>
        <w:adjustRightInd w:val="0"/>
        <w:spacing w:after="0" w:line="240" w:lineRule="auto"/>
        <w:jc w:val="both"/>
        <w:rPr>
          <w:rFonts w:ascii="Work Sans" w:eastAsia="Times New Roman" w:hAnsi="Work Sans" w:cs="Arial"/>
          <w:color w:val="000000"/>
          <w:lang w:val="es-ES" w:eastAsia="es-CO"/>
        </w:rPr>
      </w:pPr>
    </w:p>
    <w:p w14:paraId="3BD3BD80" w14:textId="13F7C133" w:rsidR="00CD4B47" w:rsidRPr="0071436F" w:rsidRDefault="008D0C51" w:rsidP="00CD4B47">
      <w:pPr>
        <w:pStyle w:val="Default"/>
        <w:jc w:val="both"/>
        <w:rPr>
          <w:rFonts w:ascii="Work Sans" w:eastAsiaTheme="minorHAnsi" w:hAnsi="Work Sans"/>
          <w:color w:val="auto"/>
          <w:sz w:val="22"/>
          <w:szCs w:val="22"/>
          <w:lang w:eastAsia="en-US"/>
        </w:rPr>
      </w:pPr>
      <w:r>
        <w:rPr>
          <w:rFonts w:ascii="Work Sans" w:eastAsiaTheme="minorHAnsi" w:hAnsi="Work Sans"/>
          <w:color w:val="auto"/>
          <w:sz w:val="22"/>
          <w:szCs w:val="22"/>
          <w:lang w:eastAsia="en-US"/>
        </w:rPr>
        <w:t xml:space="preserve">la Dirección de Hidrocarburos </w:t>
      </w:r>
      <w:r w:rsidR="0035395D">
        <w:rPr>
          <w:rFonts w:ascii="Work Sans" w:eastAsiaTheme="minorHAnsi" w:hAnsi="Work Sans"/>
          <w:color w:val="auto"/>
          <w:sz w:val="22"/>
          <w:szCs w:val="22"/>
          <w:lang w:eastAsia="en-US"/>
        </w:rPr>
        <w:t xml:space="preserve">la Coordinación de Gas de la Dirección de Hidrocarburos del </w:t>
      </w:r>
      <w:r w:rsidR="00CD4B47" w:rsidRPr="0071436F">
        <w:rPr>
          <w:rFonts w:ascii="Work Sans" w:eastAsiaTheme="minorHAnsi" w:hAnsi="Work Sans"/>
          <w:color w:val="auto"/>
          <w:sz w:val="22"/>
          <w:szCs w:val="22"/>
          <w:lang w:eastAsia="en-US"/>
        </w:rPr>
        <w:t>Ministerio de Minas y Energía realizó un análisis de impacto económico al proyecto de resolución “</w:t>
      </w:r>
      <w:r w:rsidR="00FC080B" w:rsidRPr="0071436F">
        <w:rPr>
          <w:rFonts w:ascii="Work Sans" w:eastAsiaTheme="minorHAnsi" w:hAnsi="Work Sans"/>
          <w:color w:val="auto"/>
          <w:sz w:val="22"/>
          <w:szCs w:val="22"/>
          <w:lang w:eastAsia="en-US"/>
        </w:rPr>
        <w:t>Por la cual se modifica la Resolución 40720 de 2016, por la cual se establecen los lineamientos para el otorgamiento de subsidios al consumo de GLP distribuido en cilindros</w:t>
      </w:r>
      <w:r w:rsidR="00CD4B47" w:rsidRPr="0071436F">
        <w:rPr>
          <w:rFonts w:ascii="Work Sans" w:eastAsiaTheme="minorHAnsi" w:hAnsi="Work Sans"/>
          <w:color w:val="auto"/>
          <w:sz w:val="22"/>
          <w:szCs w:val="22"/>
          <w:lang w:eastAsia="en-US"/>
        </w:rPr>
        <w:t xml:space="preserve">” evidenciando que con el contenido de la misma se genera una imputación de tipo económico al Ministerio de Minas y Energía, lo cual se encuentra </w:t>
      </w:r>
      <w:r w:rsidR="00CD4B47" w:rsidRPr="0071436F">
        <w:rPr>
          <w:rFonts w:ascii="Work Sans" w:eastAsiaTheme="minorHAnsi" w:hAnsi="Work Sans"/>
          <w:color w:val="auto"/>
          <w:sz w:val="22"/>
          <w:szCs w:val="22"/>
          <w:lang w:eastAsia="en-US"/>
        </w:rPr>
        <w:lastRenderedPageBreak/>
        <w:t>previsto con la apropiación de recursos del Presupuesto General de la Nación y registro en el Sistema Único de Inversión y Finanzas Públicas –SUIFP-, a través del proyecto de inversión denominado “Distribución de recursos para pagos de menores tarifas sector GLP distribuidos en cilindros y tanques estacionarios a nivel nacional”</w:t>
      </w:r>
      <w:r w:rsidR="0030762C">
        <w:rPr>
          <w:rFonts w:ascii="Work Sans" w:eastAsiaTheme="minorHAnsi" w:hAnsi="Work Sans"/>
          <w:color w:val="auto"/>
          <w:sz w:val="22"/>
          <w:szCs w:val="22"/>
          <w:lang w:eastAsia="en-US"/>
        </w:rPr>
        <w:t>.</w:t>
      </w:r>
    </w:p>
    <w:p w14:paraId="69D62C3B" w14:textId="77777777" w:rsidR="003445C9" w:rsidRPr="0071436F" w:rsidRDefault="003445C9" w:rsidP="00CD4B47">
      <w:pPr>
        <w:pStyle w:val="Default"/>
        <w:jc w:val="both"/>
        <w:rPr>
          <w:rFonts w:ascii="Work Sans" w:hAnsi="Work Sans"/>
          <w:i/>
          <w:sz w:val="22"/>
          <w:szCs w:val="22"/>
          <w:highlight w:val="yellow"/>
          <w:lang w:val="es-ES"/>
        </w:rPr>
      </w:pPr>
    </w:p>
    <w:p w14:paraId="45199D8F" w14:textId="22BB78AD" w:rsidR="00CD4B47" w:rsidRPr="0071436F" w:rsidRDefault="0035395D" w:rsidP="0071436F">
      <w:pPr>
        <w:pStyle w:val="Default"/>
        <w:jc w:val="both"/>
        <w:rPr>
          <w:rFonts w:ascii="Work Sans" w:eastAsiaTheme="minorHAnsi" w:hAnsi="Work Sans"/>
          <w:color w:val="auto"/>
          <w:sz w:val="22"/>
          <w:szCs w:val="22"/>
          <w:lang w:eastAsia="en-US"/>
        </w:rPr>
      </w:pPr>
      <w:r>
        <w:rPr>
          <w:rFonts w:ascii="Work Sans" w:eastAsiaTheme="minorHAnsi" w:hAnsi="Work Sans"/>
          <w:color w:val="auto"/>
          <w:sz w:val="22"/>
          <w:szCs w:val="22"/>
          <w:lang w:eastAsia="en-US"/>
        </w:rPr>
        <w:t>E</w:t>
      </w:r>
      <w:r w:rsidR="003445C9" w:rsidRPr="0071436F">
        <w:rPr>
          <w:rFonts w:ascii="Work Sans" w:eastAsiaTheme="minorHAnsi" w:hAnsi="Work Sans"/>
          <w:color w:val="auto"/>
          <w:sz w:val="22"/>
          <w:szCs w:val="22"/>
          <w:lang w:eastAsia="en-US"/>
        </w:rPr>
        <w:t>n el Sistema Único de Inversión y Finanzas Públicas – SUIFP se encuentra registrado bajo el código BPIN 2018011000763 el proyecto denominado “RECONOCIMIENTO Y PAGO A LAS EMPRESAS DISTRIBUIDORAS DE GAS EN CILINDROS EN CAQUETA, NARIÑO, PUTUMAYO, CAUCA, AMAZONAS Y SAN ANDRES Y PROVIDENCIA POR LA ENTREGA DE SUBSIDIOS A USUARIOS DE ESTRATOS 1 Y 2 POR EL CONSUMO DE GAS EN CILINDROS", a cargo del Ministerio de Minas y Energía.</w:t>
      </w:r>
    </w:p>
    <w:p w14:paraId="50D63B81" w14:textId="77777777" w:rsidR="0071436F" w:rsidRPr="0071436F" w:rsidRDefault="0071436F" w:rsidP="0071436F">
      <w:pPr>
        <w:pStyle w:val="Default"/>
        <w:jc w:val="both"/>
        <w:rPr>
          <w:rFonts w:ascii="Work Sans" w:eastAsiaTheme="minorHAnsi" w:hAnsi="Work Sans"/>
          <w:color w:val="auto"/>
          <w:sz w:val="22"/>
          <w:szCs w:val="22"/>
          <w:lang w:eastAsia="en-US"/>
        </w:rPr>
      </w:pPr>
    </w:p>
    <w:p w14:paraId="02BE4A6C" w14:textId="0779BB3B" w:rsidR="00CD4B47" w:rsidRPr="0071436F" w:rsidRDefault="00CD4B47" w:rsidP="0071436F">
      <w:pPr>
        <w:pStyle w:val="Default"/>
        <w:jc w:val="both"/>
        <w:rPr>
          <w:rFonts w:ascii="Work Sans" w:eastAsiaTheme="minorHAnsi" w:hAnsi="Work Sans"/>
          <w:color w:val="auto"/>
          <w:sz w:val="22"/>
          <w:szCs w:val="22"/>
          <w:lang w:eastAsia="en-US"/>
        </w:rPr>
      </w:pPr>
      <w:r w:rsidRPr="0071436F">
        <w:rPr>
          <w:rFonts w:ascii="Work Sans" w:eastAsiaTheme="minorHAnsi" w:hAnsi="Work Sans"/>
          <w:color w:val="auto"/>
          <w:sz w:val="22"/>
          <w:szCs w:val="22"/>
          <w:lang w:eastAsia="en-US"/>
        </w:rPr>
        <w:t>En el mencionado proyecto de inversión se estableció la actividad denominada “otorgar subsidios a usuarios residenciales Estrato 1 y Estrato 2 de GLP distribuido en cilindros y tanques estacionarios”, sobre la cual se expidió por parte del Grupo Financiero de</w:t>
      </w:r>
      <w:r w:rsidR="00FC080B" w:rsidRPr="0071436F">
        <w:rPr>
          <w:rFonts w:ascii="Work Sans" w:eastAsiaTheme="minorHAnsi" w:hAnsi="Work Sans"/>
          <w:color w:val="auto"/>
          <w:sz w:val="22"/>
          <w:szCs w:val="22"/>
          <w:lang w:eastAsia="en-US"/>
        </w:rPr>
        <w:t xml:space="preserve"> este</w:t>
      </w:r>
      <w:r w:rsidRPr="0071436F">
        <w:rPr>
          <w:rFonts w:ascii="Work Sans" w:eastAsiaTheme="minorHAnsi" w:hAnsi="Work Sans"/>
          <w:color w:val="auto"/>
          <w:sz w:val="22"/>
          <w:szCs w:val="22"/>
          <w:lang w:eastAsia="en-US"/>
        </w:rPr>
        <w:t xml:space="preserve"> Ministerio los Certificados de Disponibilidad Presupuestal No. </w:t>
      </w:r>
      <w:r w:rsidR="00635A44" w:rsidRPr="0071436F">
        <w:rPr>
          <w:rFonts w:ascii="Work Sans" w:eastAsiaTheme="minorHAnsi" w:hAnsi="Work Sans"/>
          <w:color w:val="auto"/>
          <w:sz w:val="22"/>
          <w:szCs w:val="22"/>
          <w:lang w:eastAsia="en-US"/>
        </w:rPr>
        <w:t>26919</w:t>
      </w:r>
      <w:r w:rsidRPr="0071436F">
        <w:rPr>
          <w:rFonts w:ascii="Work Sans" w:eastAsiaTheme="minorHAnsi" w:hAnsi="Work Sans"/>
          <w:color w:val="auto"/>
          <w:sz w:val="22"/>
          <w:szCs w:val="22"/>
          <w:lang w:eastAsia="en-US"/>
        </w:rPr>
        <w:t xml:space="preserve"> por valor de $</w:t>
      </w:r>
      <w:r w:rsidR="00635A44" w:rsidRPr="0071436F">
        <w:rPr>
          <w:rFonts w:ascii="Work Sans" w:eastAsiaTheme="minorHAnsi" w:hAnsi="Work Sans"/>
          <w:color w:val="auto"/>
          <w:sz w:val="22"/>
          <w:szCs w:val="22"/>
          <w:lang w:eastAsia="en-US"/>
        </w:rPr>
        <w:t>50.000.000.000</w:t>
      </w:r>
    </w:p>
    <w:p w14:paraId="5939D20C" w14:textId="77777777" w:rsidR="00CD4B47" w:rsidRPr="0071436F" w:rsidRDefault="00CD4B47" w:rsidP="00CD4B47">
      <w:pPr>
        <w:pStyle w:val="Textoindependiente"/>
        <w:rPr>
          <w:rFonts w:ascii="Work Sans" w:hAnsi="Work Sans" w:cs="Arial"/>
          <w:sz w:val="22"/>
          <w:szCs w:val="22"/>
        </w:rPr>
      </w:pPr>
    </w:p>
    <w:p w14:paraId="4A9FBBA5" w14:textId="2EB9AB92" w:rsidR="00767861" w:rsidRDefault="00767861" w:rsidP="00767861">
      <w:pPr>
        <w:pStyle w:val="Textoindependiente"/>
        <w:rPr>
          <w:rFonts w:ascii="Work Sans" w:hAnsi="Work Sans" w:cs="Arial"/>
          <w:sz w:val="22"/>
          <w:szCs w:val="22"/>
        </w:rPr>
      </w:pPr>
      <w:r>
        <w:rPr>
          <w:rFonts w:ascii="Work Sans" w:hAnsi="Work Sans" w:cs="Arial"/>
          <w:sz w:val="22"/>
          <w:szCs w:val="22"/>
        </w:rPr>
        <w:t xml:space="preserve">De acuerdo con información del Sistema Único de Información (SUI), de la Superintendencia de servicios públicos, se evidencia que en el departamento de Amazonas se presentan los precios por kg de GLP, más elevados del territorio nacional, que considerando el volumen suministrado en un cilindro de 30 libras, estas representarían para los usuarios de GLP un precio cilindro en promedio $21.481 más </w:t>
      </w:r>
      <w:r w:rsidR="00B021A8">
        <w:rPr>
          <w:rFonts w:ascii="Work Sans" w:hAnsi="Work Sans" w:cs="Arial"/>
          <w:sz w:val="22"/>
          <w:szCs w:val="22"/>
        </w:rPr>
        <w:t>costoso</w:t>
      </w:r>
      <w:r>
        <w:rPr>
          <w:rFonts w:ascii="Work Sans" w:hAnsi="Work Sans" w:cs="Arial"/>
          <w:sz w:val="22"/>
          <w:szCs w:val="22"/>
        </w:rPr>
        <w:t xml:space="preserve"> que en los demás departamentos del territorio nacional.</w:t>
      </w:r>
    </w:p>
    <w:p w14:paraId="6CEE8E2B" w14:textId="77777777" w:rsidR="00767861" w:rsidRDefault="00767861" w:rsidP="00767861">
      <w:pPr>
        <w:pStyle w:val="Textoindependiente"/>
        <w:rPr>
          <w:rFonts w:ascii="Work Sans" w:hAnsi="Work Sans" w:cs="Arial"/>
          <w:sz w:val="22"/>
          <w:szCs w:val="22"/>
        </w:rPr>
      </w:pPr>
    </w:p>
    <w:p w14:paraId="16D0F0AC" w14:textId="77777777" w:rsidR="00767861" w:rsidRDefault="00767861" w:rsidP="00767861">
      <w:pPr>
        <w:pStyle w:val="Descripcin"/>
        <w:keepNext/>
        <w:rPr>
          <w:rFonts w:ascii="Work Sans" w:hAnsi="Work Sans"/>
          <w:color w:val="auto"/>
          <w:sz w:val="22"/>
          <w:szCs w:val="22"/>
        </w:rPr>
      </w:pPr>
      <w:r>
        <w:rPr>
          <w:rFonts w:ascii="Work Sans" w:hAnsi="Work Sans"/>
          <w:color w:val="auto"/>
          <w:sz w:val="22"/>
          <w:szCs w:val="22"/>
        </w:rPr>
        <w:t xml:space="preserve">Tabla </w:t>
      </w:r>
      <w:r>
        <w:rPr>
          <w:rFonts w:ascii="Work Sans" w:hAnsi="Work Sans"/>
          <w:color w:val="auto"/>
          <w:sz w:val="22"/>
          <w:szCs w:val="22"/>
        </w:rPr>
        <w:fldChar w:fldCharType="begin"/>
      </w:r>
      <w:r>
        <w:rPr>
          <w:rFonts w:ascii="Work Sans" w:hAnsi="Work Sans"/>
          <w:color w:val="auto"/>
          <w:sz w:val="22"/>
          <w:szCs w:val="22"/>
        </w:rPr>
        <w:instrText xml:space="preserve"> SEQ Tabla \* ARABIC </w:instrText>
      </w:r>
      <w:r>
        <w:rPr>
          <w:rFonts w:ascii="Work Sans" w:hAnsi="Work Sans"/>
          <w:color w:val="auto"/>
          <w:sz w:val="22"/>
          <w:szCs w:val="22"/>
        </w:rPr>
        <w:fldChar w:fldCharType="separate"/>
      </w:r>
      <w:r>
        <w:rPr>
          <w:rFonts w:ascii="Work Sans" w:hAnsi="Work Sans"/>
          <w:noProof/>
          <w:color w:val="auto"/>
          <w:sz w:val="22"/>
          <w:szCs w:val="22"/>
        </w:rPr>
        <w:t>1</w:t>
      </w:r>
      <w:r>
        <w:rPr>
          <w:rFonts w:ascii="Work Sans" w:hAnsi="Work Sans"/>
          <w:color w:val="auto"/>
          <w:sz w:val="22"/>
          <w:szCs w:val="22"/>
        </w:rPr>
        <w:fldChar w:fldCharType="end"/>
      </w:r>
      <w:r>
        <w:rPr>
          <w:rFonts w:ascii="Work Sans" w:hAnsi="Work Sans"/>
          <w:color w:val="auto"/>
          <w:sz w:val="22"/>
          <w:szCs w:val="22"/>
        </w:rPr>
        <w:t xml:space="preserve"> Precios por Kg de GLP vendido por el minorista.</w:t>
      </w:r>
    </w:p>
    <w:tbl>
      <w:tblPr>
        <w:tblStyle w:val="Tablaconcuadrcula"/>
        <w:tblW w:w="9620" w:type="dxa"/>
        <w:tblLook w:val="04A0" w:firstRow="1" w:lastRow="0" w:firstColumn="1" w:lastColumn="0" w:noHBand="0" w:noVBand="1"/>
      </w:tblPr>
      <w:tblGrid>
        <w:gridCol w:w="2660"/>
        <w:gridCol w:w="1559"/>
        <w:gridCol w:w="1276"/>
        <w:gridCol w:w="1984"/>
        <w:gridCol w:w="2141"/>
      </w:tblGrid>
      <w:tr w:rsidR="00767861" w14:paraId="603E3BD3" w14:textId="77777777" w:rsidTr="00767861">
        <w:trPr>
          <w:trHeight w:val="300"/>
          <w:tblHeader/>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68ADC36F" w14:textId="77777777" w:rsidR="00767861" w:rsidRDefault="00767861">
            <w:pPr>
              <w:jc w:val="center"/>
              <w:rPr>
                <w:rFonts w:ascii="Work Sans" w:eastAsia="Times New Roman" w:hAnsi="Work Sans" w:cs="Times New Roman"/>
                <w:b/>
                <w:color w:val="000000"/>
                <w:sz w:val="20"/>
                <w:lang w:eastAsia="es-CO"/>
              </w:rPr>
            </w:pPr>
            <w:r>
              <w:rPr>
                <w:rFonts w:ascii="Work Sans" w:eastAsia="Times New Roman" w:hAnsi="Work Sans" w:cs="Times New Roman"/>
                <w:b/>
                <w:color w:val="000000"/>
                <w:sz w:val="20"/>
                <w:lang w:eastAsia="es-CO"/>
              </w:rPr>
              <w:t>Departamento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2F6811" w14:textId="77777777" w:rsidR="00767861" w:rsidRDefault="00767861">
            <w:pPr>
              <w:jc w:val="center"/>
              <w:rPr>
                <w:rFonts w:ascii="Work Sans" w:eastAsia="Times New Roman" w:hAnsi="Work Sans" w:cs="Times New Roman"/>
                <w:b/>
                <w:color w:val="000000"/>
                <w:sz w:val="20"/>
                <w:lang w:eastAsia="es-CO"/>
              </w:rPr>
            </w:pPr>
            <w:r>
              <w:rPr>
                <w:rFonts w:ascii="Work Sans" w:eastAsia="Times New Roman" w:hAnsi="Work Sans" w:cs="Times New Roman"/>
                <w:b/>
                <w:color w:val="000000"/>
                <w:sz w:val="20"/>
                <w:lang w:eastAsia="es-CO"/>
              </w:rPr>
              <w:t>Precio promedio Kg 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B83FD9" w14:textId="77777777" w:rsidR="00767861" w:rsidRDefault="00767861">
            <w:pPr>
              <w:jc w:val="center"/>
              <w:rPr>
                <w:rFonts w:ascii="Work Sans" w:eastAsia="Times New Roman" w:hAnsi="Work Sans" w:cs="Times New Roman"/>
                <w:b/>
                <w:color w:val="000000"/>
                <w:sz w:val="20"/>
                <w:lang w:eastAsia="es-CO"/>
              </w:rPr>
            </w:pPr>
            <w:r>
              <w:rPr>
                <w:rFonts w:ascii="Work Sans" w:eastAsia="Times New Roman" w:hAnsi="Work Sans" w:cs="Times New Roman"/>
                <w:b/>
                <w:color w:val="000000"/>
                <w:sz w:val="20"/>
                <w:lang w:eastAsia="es-CO"/>
              </w:rPr>
              <w:t>Precio promedio Kg 2018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76426C" w14:textId="77777777" w:rsidR="00767861" w:rsidRDefault="00767861">
            <w:pPr>
              <w:jc w:val="center"/>
              <w:rPr>
                <w:rFonts w:ascii="Work Sans" w:eastAsia="Times New Roman" w:hAnsi="Work Sans" w:cs="Times New Roman"/>
                <w:b/>
                <w:color w:val="000000"/>
                <w:sz w:val="20"/>
                <w:lang w:eastAsia="es-CO"/>
              </w:rPr>
            </w:pPr>
            <w:r>
              <w:rPr>
                <w:rFonts w:ascii="Work Sans" w:eastAsia="Times New Roman" w:hAnsi="Work Sans" w:cs="Times New Roman"/>
                <w:b/>
                <w:color w:val="000000"/>
                <w:sz w:val="20"/>
                <w:lang w:eastAsia="es-CO"/>
              </w:rPr>
              <w:t>Diferencia de precio Kg Amazonas – otro Departamento 2019*</w:t>
            </w:r>
          </w:p>
        </w:tc>
        <w:tc>
          <w:tcPr>
            <w:tcW w:w="2141" w:type="dxa"/>
            <w:tcBorders>
              <w:top w:val="single" w:sz="4" w:space="0" w:color="auto"/>
              <w:left w:val="single" w:sz="4" w:space="0" w:color="auto"/>
              <w:bottom w:val="single" w:sz="4" w:space="0" w:color="auto"/>
              <w:right w:val="single" w:sz="4" w:space="0" w:color="auto"/>
            </w:tcBorders>
            <w:vAlign w:val="center"/>
            <w:hideMark/>
          </w:tcPr>
          <w:p w14:paraId="0CDEF3DE" w14:textId="77777777" w:rsidR="00767861" w:rsidRDefault="00767861">
            <w:pPr>
              <w:jc w:val="center"/>
              <w:rPr>
                <w:rFonts w:ascii="Work Sans" w:eastAsia="Times New Roman" w:hAnsi="Work Sans" w:cs="Times New Roman"/>
                <w:b/>
                <w:color w:val="000000"/>
                <w:sz w:val="20"/>
                <w:lang w:eastAsia="es-CO"/>
              </w:rPr>
            </w:pPr>
            <w:r>
              <w:rPr>
                <w:rFonts w:ascii="Work Sans" w:eastAsia="Times New Roman" w:hAnsi="Work Sans" w:cs="Times New Roman"/>
                <w:b/>
                <w:color w:val="000000"/>
                <w:sz w:val="20"/>
                <w:lang w:eastAsia="es-CO"/>
              </w:rPr>
              <w:t>Diferencia de precio Kg Amazonas – otro Departamento 2018</w:t>
            </w:r>
          </w:p>
        </w:tc>
      </w:tr>
      <w:tr w:rsidR="00767861" w14:paraId="49402B93"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4E8A05FD"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AMAZONAS</w:t>
            </w:r>
          </w:p>
        </w:tc>
        <w:tc>
          <w:tcPr>
            <w:tcW w:w="1559" w:type="dxa"/>
            <w:tcBorders>
              <w:top w:val="single" w:sz="4" w:space="0" w:color="auto"/>
              <w:left w:val="single" w:sz="4" w:space="0" w:color="auto"/>
              <w:bottom w:val="single" w:sz="4" w:space="0" w:color="auto"/>
              <w:right w:val="single" w:sz="4" w:space="0" w:color="auto"/>
            </w:tcBorders>
            <w:hideMark/>
          </w:tcPr>
          <w:p w14:paraId="201489D0"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4.418 </w:t>
            </w:r>
          </w:p>
        </w:tc>
        <w:tc>
          <w:tcPr>
            <w:tcW w:w="1276" w:type="dxa"/>
            <w:tcBorders>
              <w:top w:val="single" w:sz="4" w:space="0" w:color="auto"/>
              <w:left w:val="single" w:sz="4" w:space="0" w:color="auto"/>
              <w:bottom w:val="single" w:sz="4" w:space="0" w:color="auto"/>
              <w:right w:val="single" w:sz="4" w:space="0" w:color="auto"/>
            </w:tcBorders>
            <w:hideMark/>
          </w:tcPr>
          <w:p w14:paraId="4EF7AE4E"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4.277 </w:t>
            </w:r>
          </w:p>
        </w:tc>
        <w:tc>
          <w:tcPr>
            <w:tcW w:w="1984" w:type="dxa"/>
            <w:tcBorders>
              <w:top w:val="single" w:sz="4" w:space="0" w:color="auto"/>
              <w:left w:val="single" w:sz="4" w:space="0" w:color="auto"/>
              <w:bottom w:val="single" w:sz="4" w:space="0" w:color="auto"/>
              <w:right w:val="single" w:sz="4" w:space="0" w:color="auto"/>
            </w:tcBorders>
            <w:hideMark/>
          </w:tcPr>
          <w:p w14:paraId="0EE6B397" w14:textId="77777777" w:rsidR="00767861" w:rsidRDefault="00767861">
            <w:pPr>
              <w:jc w:val="right"/>
              <w:rPr>
                <w:rFonts w:ascii="Work Sans" w:eastAsia="Times New Roman" w:hAnsi="Work Sans" w:cs="Times New Roman"/>
                <w:color w:val="000000"/>
                <w:lang w:eastAsia="es-CO"/>
              </w:rPr>
            </w:pPr>
            <w:r>
              <w:rPr>
                <w:rFonts w:ascii="Work Sans" w:eastAsia="Times New Roman" w:hAnsi="Work Sans" w:cs="Times New Roman"/>
                <w:color w:val="000000"/>
                <w:lang w:eastAsia="es-CO"/>
              </w:rPr>
              <w:t>-</w:t>
            </w:r>
          </w:p>
        </w:tc>
        <w:tc>
          <w:tcPr>
            <w:tcW w:w="2141" w:type="dxa"/>
            <w:tcBorders>
              <w:top w:val="single" w:sz="4" w:space="0" w:color="auto"/>
              <w:left w:val="single" w:sz="4" w:space="0" w:color="auto"/>
              <w:bottom w:val="single" w:sz="4" w:space="0" w:color="auto"/>
              <w:right w:val="single" w:sz="4" w:space="0" w:color="auto"/>
            </w:tcBorders>
            <w:hideMark/>
          </w:tcPr>
          <w:p w14:paraId="438465BF" w14:textId="77777777" w:rsidR="00767861" w:rsidRDefault="00767861">
            <w:pPr>
              <w:jc w:val="right"/>
              <w:rPr>
                <w:rFonts w:ascii="Work Sans" w:eastAsia="Times New Roman" w:hAnsi="Work Sans" w:cs="Times New Roman"/>
                <w:color w:val="000000"/>
                <w:lang w:eastAsia="es-CO"/>
              </w:rPr>
            </w:pPr>
            <w:r>
              <w:rPr>
                <w:rFonts w:ascii="Work Sans" w:eastAsia="Times New Roman" w:hAnsi="Work Sans" w:cs="Times New Roman"/>
                <w:color w:val="000000"/>
                <w:lang w:eastAsia="es-CO"/>
              </w:rPr>
              <w:t>-</w:t>
            </w:r>
          </w:p>
        </w:tc>
      </w:tr>
      <w:tr w:rsidR="00767861" w14:paraId="44FDCAB1"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3DD4826A"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ANTIOQUIA</w:t>
            </w:r>
          </w:p>
        </w:tc>
        <w:tc>
          <w:tcPr>
            <w:tcW w:w="1559" w:type="dxa"/>
            <w:tcBorders>
              <w:top w:val="single" w:sz="4" w:space="0" w:color="auto"/>
              <w:left w:val="single" w:sz="4" w:space="0" w:color="auto"/>
              <w:bottom w:val="single" w:sz="4" w:space="0" w:color="auto"/>
              <w:right w:val="single" w:sz="4" w:space="0" w:color="auto"/>
            </w:tcBorders>
            <w:hideMark/>
          </w:tcPr>
          <w:p w14:paraId="1C9BF873"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2.641 </w:t>
            </w:r>
          </w:p>
        </w:tc>
        <w:tc>
          <w:tcPr>
            <w:tcW w:w="1276" w:type="dxa"/>
            <w:tcBorders>
              <w:top w:val="single" w:sz="4" w:space="0" w:color="auto"/>
              <w:left w:val="single" w:sz="4" w:space="0" w:color="auto"/>
              <w:bottom w:val="single" w:sz="4" w:space="0" w:color="auto"/>
              <w:right w:val="single" w:sz="4" w:space="0" w:color="auto"/>
            </w:tcBorders>
            <w:hideMark/>
          </w:tcPr>
          <w:p w14:paraId="26970262"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2.691 </w:t>
            </w:r>
          </w:p>
        </w:tc>
        <w:tc>
          <w:tcPr>
            <w:tcW w:w="1984" w:type="dxa"/>
            <w:tcBorders>
              <w:top w:val="single" w:sz="4" w:space="0" w:color="auto"/>
              <w:left w:val="single" w:sz="4" w:space="0" w:color="auto"/>
              <w:bottom w:val="single" w:sz="4" w:space="0" w:color="auto"/>
              <w:right w:val="single" w:sz="4" w:space="0" w:color="auto"/>
            </w:tcBorders>
            <w:hideMark/>
          </w:tcPr>
          <w:p w14:paraId="0A4342B2"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1.778 </w:t>
            </w:r>
          </w:p>
        </w:tc>
        <w:tc>
          <w:tcPr>
            <w:tcW w:w="2141" w:type="dxa"/>
            <w:tcBorders>
              <w:top w:val="single" w:sz="4" w:space="0" w:color="auto"/>
              <w:left w:val="single" w:sz="4" w:space="0" w:color="auto"/>
              <w:bottom w:val="single" w:sz="4" w:space="0" w:color="auto"/>
              <w:right w:val="single" w:sz="4" w:space="0" w:color="auto"/>
            </w:tcBorders>
            <w:hideMark/>
          </w:tcPr>
          <w:p w14:paraId="5162590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1.586 </w:t>
            </w:r>
          </w:p>
        </w:tc>
      </w:tr>
      <w:tr w:rsidR="00767861" w14:paraId="50EA6C62"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5755B2C7"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ARAUCA</w:t>
            </w:r>
          </w:p>
        </w:tc>
        <w:tc>
          <w:tcPr>
            <w:tcW w:w="1559" w:type="dxa"/>
            <w:tcBorders>
              <w:top w:val="single" w:sz="4" w:space="0" w:color="auto"/>
              <w:left w:val="single" w:sz="4" w:space="0" w:color="auto"/>
              <w:bottom w:val="single" w:sz="4" w:space="0" w:color="auto"/>
              <w:right w:val="single" w:sz="4" w:space="0" w:color="auto"/>
            </w:tcBorders>
            <w:hideMark/>
          </w:tcPr>
          <w:p w14:paraId="0DB86B4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2.484 </w:t>
            </w:r>
          </w:p>
        </w:tc>
        <w:tc>
          <w:tcPr>
            <w:tcW w:w="1276" w:type="dxa"/>
            <w:tcBorders>
              <w:top w:val="single" w:sz="4" w:space="0" w:color="auto"/>
              <w:left w:val="single" w:sz="4" w:space="0" w:color="auto"/>
              <w:bottom w:val="single" w:sz="4" w:space="0" w:color="auto"/>
              <w:right w:val="single" w:sz="4" w:space="0" w:color="auto"/>
            </w:tcBorders>
            <w:hideMark/>
          </w:tcPr>
          <w:p w14:paraId="76F7C38D"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2.653 </w:t>
            </w:r>
          </w:p>
        </w:tc>
        <w:tc>
          <w:tcPr>
            <w:tcW w:w="1984" w:type="dxa"/>
            <w:tcBorders>
              <w:top w:val="single" w:sz="4" w:space="0" w:color="auto"/>
              <w:left w:val="single" w:sz="4" w:space="0" w:color="auto"/>
              <w:bottom w:val="single" w:sz="4" w:space="0" w:color="auto"/>
              <w:right w:val="single" w:sz="4" w:space="0" w:color="auto"/>
            </w:tcBorders>
            <w:hideMark/>
          </w:tcPr>
          <w:p w14:paraId="1A15ECBD"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1.934 </w:t>
            </w:r>
          </w:p>
        </w:tc>
        <w:tc>
          <w:tcPr>
            <w:tcW w:w="2141" w:type="dxa"/>
            <w:tcBorders>
              <w:top w:val="single" w:sz="4" w:space="0" w:color="auto"/>
              <w:left w:val="single" w:sz="4" w:space="0" w:color="auto"/>
              <w:bottom w:val="single" w:sz="4" w:space="0" w:color="auto"/>
              <w:right w:val="single" w:sz="4" w:space="0" w:color="auto"/>
            </w:tcBorders>
            <w:hideMark/>
          </w:tcPr>
          <w:p w14:paraId="5627D385"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1.624 </w:t>
            </w:r>
          </w:p>
        </w:tc>
      </w:tr>
      <w:tr w:rsidR="00767861" w14:paraId="62D09D6F"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4C4CC7FD"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ARCHIPIELAGO DE SAN ANDRES, PROVIDENCIA Y SANTA CATALINA</w:t>
            </w:r>
          </w:p>
        </w:tc>
        <w:tc>
          <w:tcPr>
            <w:tcW w:w="1559" w:type="dxa"/>
            <w:tcBorders>
              <w:top w:val="single" w:sz="4" w:space="0" w:color="auto"/>
              <w:left w:val="single" w:sz="4" w:space="0" w:color="auto"/>
              <w:bottom w:val="single" w:sz="4" w:space="0" w:color="auto"/>
              <w:right w:val="single" w:sz="4" w:space="0" w:color="auto"/>
            </w:tcBorders>
            <w:hideMark/>
          </w:tcPr>
          <w:p w14:paraId="38A10D5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2.531 </w:t>
            </w:r>
          </w:p>
        </w:tc>
        <w:tc>
          <w:tcPr>
            <w:tcW w:w="1276" w:type="dxa"/>
            <w:tcBorders>
              <w:top w:val="single" w:sz="4" w:space="0" w:color="auto"/>
              <w:left w:val="single" w:sz="4" w:space="0" w:color="auto"/>
              <w:bottom w:val="single" w:sz="4" w:space="0" w:color="auto"/>
              <w:right w:val="single" w:sz="4" w:space="0" w:color="auto"/>
            </w:tcBorders>
            <w:hideMark/>
          </w:tcPr>
          <w:p w14:paraId="15890FE2"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2.635 </w:t>
            </w:r>
          </w:p>
        </w:tc>
        <w:tc>
          <w:tcPr>
            <w:tcW w:w="1984" w:type="dxa"/>
            <w:tcBorders>
              <w:top w:val="single" w:sz="4" w:space="0" w:color="auto"/>
              <w:left w:val="single" w:sz="4" w:space="0" w:color="auto"/>
              <w:bottom w:val="single" w:sz="4" w:space="0" w:color="auto"/>
              <w:right w:val="single" w:sz="4" w:space="0" w:color="auto"/>
            </w:tcBorders>
            <w:hideMark/>
          </w:tcPr>
          <w:p w14:paraId="463305B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1.888 </w:t>
            </w:r>
          </w:p>
        </w:tc>
        <w:tc>
          <w:tcPr>
            <w:tcW w:w="2141" w:type="dxa"/>
            <w:tcBorders>
              <w:top w:val="single" w:sz="4" w:space="0" w:color="auto"/>
              <w:left w:val="single" w:sz="4" w:space="0" w:color="auto"/>
              <w:bottom w:val="single" w:sz="4" w:space="0" w:color="auto"/>
              <w:right w:val="single" w:sz="4" w:space="0" w:color="auto"/>
            </w:tcBorders>
            <w:hideMark/>
          </w:tcPr>
          <w:p w14:paraId="2E6E9180"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1.642 </w:t>
            </w:r>
          </w:p>
        </w:tc>
      </w:tr>
      <w:tr w:rsidR="00767861" w14:paraId="177B9CE1"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7834A587"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ATLANTICO</w:t>
            </w:r>
          </w:p>
        </w:tc>
        <w:tc>
          <w:tcPr>
            <w:tcW w:w="1559" w:type="dxa"/>
            <w:tcBorders>
              <w:top w:val="single" w:sz="4" w:space="0" w:color="auto"/>
              <w:left w:val="single" w:sz="4" w:space="0" w:color="auto"/>
              <w:bottom w:val="single" w:sz="4" w:space="0" w:color="auto"/>
              <w:right w:val="single" w:sz="4" w:space="0" w:color="auto"/>
            </w:tcBorders>
            <w:hideMark/>
          </w:tcPr>
          <w:p w14:paraId="16BF3610"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3.782 </w:t>
            </w:r>
          </w:p>
        </w:tc>
        <w:tc>
          <w:tcPr>
            <w:tcW w:w="1276" w:type="dxa"/>
            <w:tcBorders>
              <w:top w:val="single" w:sz="4" w:space="0" w:color="auto"/>
              <w:left w:val="single" w:sz="4" w:space="0" w:color="auto"/>
              <w:bottom w:val="single" w:sz="4" w:space="0" w:color="auto"/>
              <w:right w:val="single" w:sz="4" w:space="0" w:color="auto"/>
            </w:tcBorders>
            <w:hideMark/>
          </w:tcPr>
          <w:p w14:paraId="4089CDC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3.743 </w:t>
            </w:r>
          </w:p>
        </w:tc>
        <w:tc>
          <w:tcPr>
            <w:tcW w:w="1984" w:type="dxa"/>
            <w:tcBorders>
              <w:top w:val="single" w:sz="4" w:space="0" w:color="auto"/>
              <w:left w:val="single" w:sz="4" w:space="0" w:color="auto"/>
              <w:bottom w:val="single" w:sz="4" w:space="0" w:color="auto"/>
              <w:right w:val="single" w:sz="4" w:space="0" w:color="auto"/>
            </w:tcBorders>
            <w:hideMark/>
          </w:tcPr>
          <w:p w14:paraId="01A7BCC3"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636 </w:t>
            </w:r>
          </w:p>
        </w:tc>
        <w:tc>
          <w:tcPr>
            <w:tcW w:w="2141" w:type="dxa"/>
            <w:tcBorders>
              <w:top w:val="single" w:sz="4" w:space="0" w:color="auto"/>
              <w:left w:val="single" w:sz="4" w:space="0" w:color="auto"/>
              <w:bottom w:val="single" w:sz="4" w:space="0" w:color="auto"/>
              <w:right w:val="single" w:sz="4" w:space="0" w:color="auto"/>
            </w:tcBorders>
            <w:hideMark/>
          </w:tcPr>
          <w:p w14:paraId="1B012F2D"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533 </w:t>
            </w:r>
          </w:p>
        </w:tc>
      </w:tr>
      <w:tr w:rsidR="00767861" w14:paraId="66B2F26E"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7C3E264F"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BOGOTA, D.C.</w:t>
            </w:r>
          </w:p>
        </w:tc>
        <w:tc>
          <w:tcPr>
            <w:tcW w:w="1559" w:type="dxa"/>
            <w:tcBorders>
              <w:top w:val="single" w:sz="4" w:space="0" w:color="auto"/>
              <w:left w:val="single" w:sz="4" w:space="0" w:color="auto"/>
              <w:bottom w:val="single" w:sz="4" w:space="0" w:color="auto"/>
              <w:right w:val="single" w:sz="4" w:space="0" w:color="auto"/>
            </w:tcBorders>
            <w:hideMark/>
          </w:tcPr>
          <w:p w14:paraId="7750A097"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2.892 </w:t>
            </w:r>
          </w:p>
        </w:tc>
        <w:tc>
          <w:tcPr>
            <w:tcW w:w="1276" w:type="dxa"/>
            <w:tcBorders>
              <w:top w:val="single" w:sz="4" w:space="0" w:color="auto"/>
              <w:left w:val="single" w:sz="4" w:space="0" w:color="auto"/>
              <w:bottom w:val="single" w:sz="4" w:space="0" w:color="auto"/>
              <w:right w:val="single" w:sz="4" w:space="0" w:color="auto"/>
            </w:tcBorders>
            <w:hideMark/>
          </w:tcPr>
          <w:p w14:paraId="6B2DBB10"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3.172 </w:t>
            </w:r>
          </w:p>
        </w:tc>
        <w:tc>
          <w:tcPr>
            <w:tcW w:w="1984" w:type="dxa"/>
            <w:tcBorders>
              <w:top w:val="single" w:sz="4" w:space="0" w:color="auto"/>
              <w:left w:val="single" w:sz="4" w:space="0" w:color="auto"/>
              <w:bottom w:val="single" w:sz="4" w:space="0" w:color="auto"/>
              <w:right w:val="single" w:sz="4" w:space="0" w:color="auto"/>
            </w:tcBorders>
            <w:hideMark/>
          </w:tcPr>
          <w:p w14:paraId="546E388B"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1.527 </w:t>
            </w:r>
          </w:p>
        </w:tc>
        <w:tc>
          <w:tcPr>
            <w:tcW w:w="2141" w:type="dxa"/>
            <w:tcBorders>
              <w:top w:val="single" w:sz="4" w:space="0" w:color="auto"/>
              <w:left w:val="single" w:sz="4" w:space="0" w:color="auto"/>
              <w:bottom w:val="single" w:sz="4" w:space="0" w:color="auto"/>
              <w:right w:val="single" w:sz="4" w:space="0" w:color="auto"/>
            </w:tcBorders>
            <w:hideMark/>
          </w:tcPr>
          <w:p w14:paraId="237BFD59"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1.105 </w:t>
            </w:r>
          </w:p>
        </w:tc>
      </w:tr>
      <w:tr w:rsidR="00767861" w14:paraId="4AB82DB0"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7A0B6184"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BOLIVAR</w:t>
            </w:r>
          </w:p>
        </w:tc>
        <w:tc>
          <w:tcPr>
            <w:tcW w:w="1559" w:type="dxa"/>
            <w:tcBorders>
              <w:top w:val="single" w:sz="4" w:space="0" w:color="auto"/>
              <w:left w:val="single" w:sz="4" w:space="0" w:color="auto"/>
              <w:bottom w:val="single" w:sz="4" w:space="0" w:color="auto"/>
              <w:right w:val="single" w:sz="4" w:space="0" w:color="auto"/>
            </w:tcBorders>
            <w:hideMark/>
          </w:tcPr>
          <w:p w14:paraId="21A8F2F3"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2.982 </w:t>
            </w:r>
          </w:p>
        </w:tc>
        <w:tc>
          <w:tcPr>
            <w:tcW w:w="1276" w:type="dxa"/>
            <w:tcBorders>
              <w:top w:val="single" w:sz="4" w:space="0" w:color="auto"/>
              <w:left w:val="single" w:sz="4" w:space="0" w:color="auto"/>
              <w:bottom w:val="single" w:sz="4" w:space="0" w:color="auto"/>
              <w:right w:val="single" w:sz="4" w:space="0" w:color="auto"/>
            </w:tcBorders>
            <w:hideMark/>
          </w:tcPr>
          <w:p w14:paraId="697D20A1"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3.103 </w:t>
            </w:r>
          </w:p>
        </w:tc>
        <w:tc>
          <w:tcPr>
            <w:tcW w:w="1984" w:type="dxa"/>
            <w:tcBorders>
              <w:top w:val="single" w:sz="4" w:space="0" w:color="auto"/>
              <w:left w:val="single" w:sz="4" w:space="0" w:color="auto"/>
              <w:bottom w:val="single" w:sz="4" w:space="0" w:color="auto"/>
              <w:right w:val="single" w:sz="4" w:space="0" w:color="auto"/>
            </w:tcBorders>
            <w:hideMark/>
          </w:tcPr>
          <w:p w14:paraId="00599DDA"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1.436 </w:t>
            </w:r>
          </w:p>
        </w:tc>
        <w:tc>
          <w:tcPr>
            <w:tcW w:w="2141" w:type="dxa"/>
            <w:tcBorders>
              <w:top w:val="single" w:sz="4" w:space="0" w:color="auto"/>
              <w:left w:val="single" w:sz="4" w:space="0" w:color="auto"/>
              <w:bottom w:val="single" w:sz="4" w:space="0" w:color="auto"/>
              <w:right w:val="single" w:sz="4" w:space="0" w:color="auto"/>
            </w:tcBorders>
            <w:hideMark/>
          </w:tcPr>
          <w:p w14:paraId="0909741D"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1.173 </w:t>
            </w:r>
          </w:p>
        </w:tc>
      </w:tr>
      <w:tr w:rsidR="00767861" w14:paraId="0E06F8AA"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16BDA727"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BOYACA</w:t>
            </w:r>
          </w:p>
        </w:tc>
        <w:tc>
          <w:tcPr>
            <w:tcW w:w="1559" w:type="dxa"/>
            <w:tcBorders>
              <w:top w:val="single" w:sz="4" w:space="0" w:color="auto"/>
              <w:left w:val="single" w:sz="4" w:space="0" w:color="auto"/>
              <w:bottom w:val="single" w:sz="4" w:space="0" w:color="auto"/>
              <w:right w:val="single" w:sz="4" w:space="0" w:color="auto"/>
            </w:tcBorders>
            <w:hideMark/>
          </w:tcPr>
          <w:p w14:paraId="04C22EC8"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2.881 </w:t>
            </w:r>
          </w:p>
        </w:tc>
        <w:tc>
          <w:tcPr>
            <w:tcW w:w="1276" w:type="dxa"/>
            <w:tcBorders>
              <w:top w:val="single" w:sz="4" w:space="0" w:color="auto"/>
              <w:left w:val="single" w:sz="4" w:space="0" w:color="auto"/>
              <w:bottom w:val="single" w:sz="4" w:space="0" w:color="auto"/>
              <w:right w:val="single" w:sz="4" w:space="0" w:color="auto"/>
            </w:tcBorders>
            <w:hideMark/>
          </w:tcPr>
          <w:p w14:paraId="28895732"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2.979 </w:t>
            </w:r>
          </w:p>
        </w:tc>
        <w:tc>
          <w:tcPr>
            <w:tcW w:w="1984" w:type="dxa"/>
            <w:tcBorders>
              <w:top w:val="single" w:sz="4" w:space="0" w:color="auto"/>
              <w:left w:val="single" w:sz="4" w:space="0" w:color="auto"/>
              <w:bottom w:val="single" w:sz="4" w:space="0" w:color="auto"/>
              <w:right w:val="single" w:sz="4" w:space="0" w:color="auto"/>
            </w:tcBorders>
            <w:hideMark/>
          </w:tcPr>
          <w:p w14:paraId="37E2D6E8"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1.537 </w:t>
            </w:r>
          </w:p>
        </w:tc>
        <w:tc>
          <w:tcPr>
            <w:tcW w:w="2141" w:type="dxa"/>
            <w:tcBorders>
              <w:top w:val="single" w:sz="4" w:space="0" w:color="auto"/>
              <w:left w:val="single" w:sz="4" w:space="0" w:color="auto"/>
              <w:bottom w:val="single" w:sz="4" w:space="0" w:color="auto"/>
              <w:right w:val="single" w:sz="4" w:space="0" w:color="auto"/>
            </w:tcBorders>
            <w:hideMark/>
          </w:tcPr>
          <w:p w14:paraId="145B4F89"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1.298 </w:t>
            </w:r>
          </w:p>
        </w:tc>
      </w:tr>
      <w:tr w:rsidR="00767861" w14:paraId="7B12D1DD"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3C7E4695"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CALDAS</w:t>
            </w:r>
          </w:p>
        </w:tc>
        <w:tc>
          <w:tcPr>
            <w:tcW w:w="1559" w:type="dxa"/>
            <w:tcBorders>
              <w:top w:val="single" w:sz="4" w:space="0" w:color="auto"/>
              <w:left w:val="single" w:sz="4" w:space="0" w:color="auto"/>
              <w:bottom w:val="single" w:sz="4" w:space="0" w:color="auto"/>
              <w:right w:val="single" w:sz="4" w:space="0" w:color="auto"/>
            </w:tcBorders>
            <w:hideMark/>
          </w:tcPr>
          <w:p w14:paraId="53669E2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2.750 </w:t>
            </w:r>
          </w:p>
        </w:tc>
        <w:tc>
          <w:tcPr>
            <w:tcW w:w="1276" w:type="dxa"/>
            <w:tcBorders>
              <w:top w:val="single" w:sz="4" w:space="0" w:color="auto"/>
              <w:left w:val="single" w:sz="4" w:space="0" w:color="auto"/>
              <w:bottom w:val="single" w:sz="4" w:space="0" w:color="auto"/>
              <w:right w:val="single" w:sz="4" w:space="0" w:color="auto"/>
            </w:tcBorders>
            <w:hideMark/>
          </w:tcPr>
          <w:p w14:paraId="22CDA70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2.821 </w:t>
            </w:r>
          </w:p>
        </w:tc>
        <w:tc>
          <w:tcPr>
            <w:tcW w:w="1984" w:type="dxa"/>
            <w:tcBorders>
              <w:top w:val="single" w:sz="4" w:space="0" w:color="auto"/>
              <w:left w:val="single" w:sz="4" w:space="0" w:color="auto"/>
              <w:bottom w:val="single" w:sz="4" w:space="0" w:color="auto"/>
              <w:right w:val="single" w:sz="4" w:space="0" w:color="auto"/>
            </w:tcBorders>
            <w:hideMark/>
          </w:tcPr>
          <w:p w14:paraId="468D196C"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1.668 </w:t>
            </w:r>
          </w:p>
        </w:tc>
        <w:tc>
          <w:tcPr>
            <w:tcW w:w="2141" w:type="dxa"/>
            <w:tcBorders>
              <w:top w:val="single" w:sz="4" w:space="0" w:color="auto"/>
              <w:left w:val="single" w:sz="4" w:space="0" w:color="auto"/>
              <w:bottom w:val="single" w:sz="4" w:space="0" w:color="auto"/>
              <w:right w:val="single" w:sz="4" w:space="0" w:color="auto"/>
            </w:tcBorders>
            <w:hideMark/>
          </w:tcPr>
          <w:p w14:paraId="2E151D53"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1.455 </w:t>
            </w:r>
          </w:p>
        </w:tc>
      </w:tr>
      <w:tr w:rsidR="00767861" w14:paraId="5277981A"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1C0A0DE3"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lastRenderedPageBreak/>
              <w:t>CAQUETA</w:t>
            </w:r>
          </w:p>
        </w:tc>
        <w:tc>
          <w:tcPr>
            <w:tcW w:w="1559" w:type="dxa"/>
            <w:tcBorders>
              <w:top w:val="single" w:sz="4" w:space="0" w:color="auto"/>
              <w:left w:val="single" w:sz="4" w:space="0" w:color="auto"/>
              <w:bottom w:val="single" w:sz="4" w:space="0" w:color="auto"/>
              <w:right w:val="single" w:sz="4" w:space="0" w:color="auto"/>
            </w:tcBorders>
            <w:hideMark/>
          </w:tcPr>
          <w:p w14:paraId="48C38805"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3.101 </w:t>
            </w:r>
          </w:p>
        </w:tc>
        <w:tc>
          <w:tcPr>
            <w:tcW w:w="1276" w:type="dxa"/>
            <w:tcBorders>
              <w:top w:val="single" w:sz="4" w:space="0" w:color="auto"/>
              <w:left w:val="single" w:sz="4" w:space="0" w:color="auto"/>
              <w:bottom w:val="single" w:sz="4" w:space="0" w:color="auto"/>
              <w:right w:val="single" w:sz="4" w:space="0" w:color="auto"/>
            </w:tcBorders>
            <w:hideMark/>
          </w:tcPr>
          <w:p w14:paraId="1045F765"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3.156 </w:t>
            </w:r>
          </w:p>
        </w:tc>
        <w:tc>
          <w:tcPr>
            <w:tcW w:w="1984" w:type="dxa"/>
            <w:tcBorders>
              <w:top w:val="single" w:sz="4" w:space="0" w:color="auto"/>
              <w:left w:val="single" w:sz="4" w:space="0" w:color="auto"/>
              <w:bottom w:val="single" w:sz="4" w:space="0" w:color="auto"/>
              <w:right w:val="single" w:sz="4" w:space="0" w:color="auto"/>
            </w:tcBorders>
            <w:hideMark/>
          </w:tcPr>
          <w:p w14:paraId="67308D6B"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1.318 </w:t>
            </w:r>
          </w:p>
        </w:tc>
        <w:tc>
          <w:tcPr>
            <w:tcW w:w="2141" w:type="dxa"/>
            <w:tcBorders>
              <w:top w:val="single" w:sz="4" w:space="0" w:color="auto"/>
              <w:left w:val="single" w:sz="4" w:space="0" w:color="auto"/>
              <w:bottom w:val="single" w:sz="4" w:space="0" w:color="auto"/>
              <w:right w:val="single" w:sz="4" w:space="0" w:color="auto"/>
            </w:tcBorders>
            <w:hideMark/>
          </w:tcPr>
          <w:p w14:paraId="4CAE36C2"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1.121 </w:t>
            </w:r>
          </w:p>
        </w:tc>
      </w:tr>
      <w:tr w:rsidR="00767861" w14:paraId="38E08D94"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5112FF4D"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CASANARE</w:t>
            </w:r>
          </w:p>
        </w:tc>
        <w:tc>
          <w:tcPr>
            <w:tcW w:w="1559" w:type="dxa"/>
            <w:tcBorders>
              <w:top w:val="single" w:sz="4" w:space="0" w:color="auto"/>
              <w:left w:val="single" w:sz="4" w:space="0" w:color="auto"/>
              <w:bottom w:val="single" w:sz="4" w:space="0" w:color="auto"/>
              <w:right w:val="single" w:sz="4" w:space="0" w:color="auto"/>
            </w:tcBorders>
            <w:hideMark/>
          </w:tcPr>
          <w:p w14:paraId="60D90F5A"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2.547 </w:t>
            </w:r>
          </w:p>
        </w:tc>
        <w:tc>
          <w:tcPr>
            <w:tcW w:w="1276" w:type="dxa"/>
            <w:tcBorders>
              <w:top w:val="single" w:sz="4" w:space="0" w:color="auto"/>
              <w:left w:val="single" w:sz="4" w:space="0" w:color="auto"/>
              <w:bottom w:val="single" w:sz="4" w:space="0" w:color="auto"/>
              <w:right w:val="single" w:sz="4" w:space="0" w:color="auto"/>
            </w:tcBorders>
            <w:hideMark/>
          </w:tcPr>
          <w:p w14:paraId="022EDC7F"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2.709 </w:t>
            </w:r>
          </w:p>
        </w:tc>
        <w:tc>
          <w:tcPr>
            <w:tcW w:w="1984" w:type="dxa"/>
            <w:tcBorders>
              <w:top w:val="single" w:sz="4" w:space="0" w:color="auto"/>
              <w:left w:val="single" w:sz="4" w:space="0" w:color="auto"/>
              <w:bottom w:val="single" w:sz="4" w:space="0" w:color="auto"/>
              <w:right w:val="single" w:sz="4" w:space="0" w:color="auto"/>
            </w:tcBorders>
            <w:hideMark/>
          </w:tcPr>
          <w:p w14:paraId="5ACD9DB8"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1.871 </w:t>
            </w:r>
          </w:p>
        </w:tc>
        <w:tc>
          <w:tcPr>
            <w:tcW w:w="2141" w:type="dxa"/>
            <w:tcBorders>
              <w:top w:val="single" w:sz="4" w:space="0" w:color="auto"/>
              <w:left w:val="single" w:sz="4" w:space="0" w:color="auto"/>
              <w:bottom w:val="single" w:sz="4" w:space="0" w:color="auto"/>
              <w:right w:val="single" w:sz="4" w:space="0" w:color="auto"/>
            </w:tcBorders>
            <w:hideMark/>
          </w:tcPr>
          <w:p w14:paraId="1D2894C8"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1.568 </w:t>
            </w:r>
          </w:p>
        </w:tc>
      </w:tr>
      <w:tr w:rsidR="00767861" w14:paraId="615E9844"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19A44733"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CAUCA</w:t>
            </w:r>
          </w:p>
        </w:tc>
        <w:tc>
          <w:tcPr>
            <w:tcW w:w="1559" w:type="dxa"/>
            <w:tcBorders>
              <w:top w:val="single" w:sz="4" w:space="0" w:color="auto"/>
              <w:left w:val="single" w:sz="4" w:space="0" w:color="auto"/>
              <w:bottom w:val="single" w:sz="4" w:space="0" w:color="auto"/>
              <w:right w:val="single" w:sz="4" w:space="0" w:color="auto"/>
            </w:tcBorders>
            <w:hideMark/>
          </w:tcPr>
          <w:p w14:paraId="4E4C4099"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3.073 </w:t>
            </w:r>
          </w:p>
        </w:tc>
        <w:tc>
          <w:tcPr>
            <w:tcW w:w="1276" w:type="dxa"/>
            <w:tcBorders>
              <w:top w:val="single" w:sz="4" w:space="0" w:color="auto"/>
              <w:left w:val="single" w:sz="4" w:space="0" w:color="auto"/>
              <w:bottom w:val="single" w:sz="4" w:space="0" w:color="auto"/>
              <w:right w:val="single" w:sz="4" w:space="0" w:color="auto"/>
            </w:tcBorders>
            <w:hideMark/>
          </w:tcPr>
          <w:p w14:paraId="5E571BF3"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2.963 </w:t>
            </w:r>
          </w:p>
        </w:tc>
        <w:tc>
          <w:tcPr>
            <w:tcW w:w="1984" w:type="dxa"/>
            <w:tcBorders>
              <w:top w:val="single" w:sz="4" w:space="0" w:color="auto"/>
              <w:left w:val="single" w:sz="4" w:space="0" w:color="auto"/>
              <w:bottom w:val="single" w:sz="4" w:space="0" w:color="auto"/>
              <w:right w:val="single" w:sz="4" w:space="0" w:color="auto"/>
            </w:tcBorders>
            <w:hideMark/>
          </w:tcPr>
          <w:p w14:paraId="4ED82878"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1.345 </w:t>
            </w:r>
          </w:p>
        </w:tc>
        <w:tc>
          <w:tcPr>
            <w:tcW w:w="2141" w:type="dxa"/>
            <w:tcBorders>
              <w:top w:val="single" w:sz="4" w:space="0" w:color="auto"/>
              <w:left w:val="single" w:sz="4" w:space="0" w:color="auto"/>
              <w:bottom w:val="single" w:sz="4" w:space="0" w:color="auto"/>
              <w:right w:val="single" w:sz="4" w:space="0" w:color="auto"/>
            </w:tcBorders>
            <w:hideMark/>
          </w:tcPr>
          <w:p w14:paraId="559572B6"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1.313 </w:t>
            </w:r>
          </w:p>
        </w:tc>
      </w:tr>
      <w:tr w:rsidR="00767861" w14:paraId="3AE9EEAC"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050454FA"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CESAR</w:t>
            </w:r>
          </w:p>
        </w:tc>
        <w:tc>
          <w:tcPr>
            <w:tcW w:w="1559" w:type="dxa"/>
            <w:tcBorders>
              <w:top w:val="single" w:sz="4" w:space="0" w:color="auto"/>
              <w:left w:val="single" w:sz="4" w:space="0" w:color="auto"/>
              <w:bottom w:val="single" w:sz="4" w:space="0" w:color="auto"/>
              <w:right w:val="single" w:sz="4" w:space="0" w:color="auto"/>
            </w:tcBorders>
            <w:hideMark/>
          </w:tcPr>
          <w:p w14:paraId="123CC05B"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3.034 </w:t>
            </w:r>
          </w:p>
        </w:tc>
        <w:tc>
          <w:tcPr>
            <w:tcW w:w="1276" w:type="dxa"/>
            <w:tcBorders>
              <w:top w:val="single" w:sz="4" w:space="0" w:color="auto"/>
              <w:left w:val="single" w:sz="4" w:space="0" w:color="auto"/>
              <w:bottom w:val="single" w:sz="4" w:space="0" w:color="auto"/>
              <w:right w:val="single" w:sz="4" w:space="0" w:color="auto"/>
            </w:tcBorders>
            <w:hideMark/>
          </w:tcPr>
          <w:p w14:paraId="3FAC2C1D"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2.955 </w:t>
            </w:r>
          </w:p>
        </w:tc>
        <w:tc>
          <w:tcPr>
            <w:tcW w:w="1984" w:type="dxa"/>
            <w:tcBorders>
              <w:top w:val="single" w:sz="4" w:space="0" w:color="auto"/>
              <w:left w:val="single" w:sz="4" w:space="0" w:color="auto"/>
              <w:bottom w:val="single" w:sz="4" w:space="0" w:color="auto"/>
              <w:right w:val="single" w:sz="4" w:space="0" w:color="auto"/>
            </w:tcBorders>
            <w:hideMark/>
          </w:tcPr>
          <w:p w14:paraId="4B253232"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1.385 </w:t>
            </w:r>
          </w:p>
        </w:tc>
        <w:tc>
          <w:tcPr>
            <w:tcW w:w="2141" w:type="dxa"/>
            <w:tcBorders>
              <w:top w:val="single" w:sz="4" w:space="0" w:color="auto"/>
              <w:left w:val="single" w:sz="4" w:space="0" w:color="auto"/>
              <w:bottom w:val="single" w:sz="4" w:space="0" w:color="auto"/>
              <w:right w:val="single" w:sz="4" w:space="0" w:color="auto"/>
            </w:tcBorders>
            <w:hideMark/>
          </w:tcPr>
          <w:p w14:paraId="6D0383F3"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1.322 </w:t>
            </w:r>
          </w:p>
        </w:tc>
      </w:tr>
      <w:tr w:rsidR="00767861" w14:paraId="296FB67E"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3B761DD1"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CHOCO</w:t>
            </w:r>
          </w:p>
        </w:tc>
        <w:tc>
          <w:tcPr>
            <w:tcW w:w="1559" w:type="dxa"/>
            <w:tcBorders>
              <w:top w:val="single" w:sz="4" w:space="0" w:color="auto"/>
              <w:left w:val="single" w:sz="4" w:space="0" w:color="auto"/>
              <w:bottom w:val="single" w:sz="4" w:space="0" w:color="auto"/>
              <w:right w:val="single" w:sz="4" w:space="0" w:color="auto"/>
            </w:tcBorders>
            <w:hideMark/>
          </w:tcPr>
          <w:p w14:paraId="3D62B2E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2.953 </w:t>
            </w:r>
          </w:p>
        </w:tc>
        <w:tc>
          <w:tcPr>
            <w:tcW w:w="1276" w:type="dxa"/>
            <w:tcBorders>
              <w:top w:val="single" w:sz="4" w:space="0" w:color="auto"/>
              <w:left w:val="single" w:sz="4" w:space="0" w:color="auto"/>
              <w:bottom w:val="single" w:sz="4" w:space="0" w:color="auto"/>
              <w:right w:val="single" w:sz="4" w:space="0" w:color="auto"/>
            </w:tcBorders>
            <w:hideMark/>
          </w:tcPr>
          <w:p w14:paraId="0E75B81D"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3.086 </w:t>
            </w:r>
          </w:p>
        </w:tc>
        <w:tc>
          <w:tcPr>
            <w:tcW w:w="1984" w:type="dxa"/>
            <w:tcBorders>
              <w:top w:val="single" w:sz="4" w:space="0" w:color="auto"/>
              <w:left w:val="single" w:sz="4" w:space="0" w:color="auto"/>
              <w:bottom w:val="single" w:sz="4" w:space="0" w:color="auto"/>
              <w:right w:val="single" w:sz="4" w:space="0" w:color="auto"/>
            </w:tcBorders>
            <w:hideMark/>
          </w:tcPr>
          <w:p w14:paraId="5524D77F"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1.465 </w:t>
            </w:r>
          </w:p>
        </w:tc>
        <w:tc>
          <w:tcPr>
            <w:tcW w:w="2141" w:type="dxa"/>
            <w:tcBorders>
              <w:top w:val="single" w:sz="4" w:space="0" w:color="auto"/>
              <w:left w:val="single" w:sz="4" w:space="0" w:color="auto"/>
              <w:bottom w:val="single" w:sz="4" w:space="0" w:color="auto"/>
              <w:right w:val="single" w:sz="4" w:space="0" w:color="auto"/>
            </w:tcBorders>
            <w:hideMark/>
          </w:tcPr>
          <w:p w14:paraId="016C0E5D"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1.190 </w:t>
            </w:r>
          </w:p>
        </w:tc>
      </w:tr>
      <w:tr w:rsidR="00767861" w14:paraId="6C6998E4"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3DB8B5CC"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CORDOBA</w:t>
            </w:r>
          </w:p>
        </w:tc>
        <w:tc>
          <w:tcPr>
            <w:tcW w:w="1559" w:type="dxa"/>
            <w:tcBorders>
              <w:top w:val="single" w:sz="4" w:space="0" w:color="auto"/>
              <w:left w:val="single" w:sz="4" w:space="0" w:color="auto"/>
              <w:bottom w:val="single" w:sz="4" w:space="0" w:color="auto"/>
              <w:right w:val="single" w:sz="4" w:space="0" w:color="auto"/>
            </w:tcBorders>
            <w:hideMark/>
          </w:tcPr>
          <w:p w14:paraId="72233706"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3.339 </w:t>
            </w:r>
          </w:p>
        </w:tc>
        <w:tc>
          <w:tcPr>
            <w:tcW w:w="1276" w:type="dxa"/>
            <w:tcBorders>
              <w:top w:val="single" w:sz="4" w:space="0" w:color="auto"/>
              <w:left w:val="single" w:sz="4" w:space="0" w:color="auto"/>
              <w:bottom w:val="single" w:sz="4" w:space="0" w:color="auto"/>
              <w:right w:val="single" w:sz="4" w:space="0" w:color="auto"/>
            </w:tcBorders>
            <w:hideMark/>
          </w:tcPr>
          <w:p w14:paraId="4C02D68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3.243 </w:t>
            </w:r>
          </w:p>
        </w:tc>
        <w:tc>
          <w:tcPr>
            <w:tcW w:w="1984" w:type="dxa"/>
            <w:tcBorders>
              <w:top w:val="single" w:sz="4" w:space="0" w:color="auto"/>
              <w:left w:val="single" w:sz="4" w:space="0" w:color="auto"/>
              <w:bottom w:val="single" w:sz="4" w:space="0" w:color="auto"/>
              <w:right w:val="single" w:sz="4" w:space="0" w:color="auto"/>
            </w:tcBorders>
            <w:hideMark/>
          </w:tcPr>
          <w:p w14:paraId="23EC712D"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1.079 </w:t>
            </w:r>
          </w:p>
        </w:tc>
        <w:tc>
          <w:tcPr>
            <w:tcW w:w="2141" w:type="dxa"/>
            <w:tcBorders>
              <w:top w:val="single" w:sz="4" w:space="0" w:color="auto"/>
              <w:left w:val="single" w:sz="4" w:space="0" w:color="auto"/>
              <w:bottom w:val="single" w:sz="4" w:space="0" w:color="auto"/>
              <w:right w:val="single" w:sz="4" w:space="0" w:color="auto"/>
            </w:tcBorders>
            <w:hideMark/>
          </w:tcPr>
          <w:p w14:paraId="40BEA26A"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1.034 </w:t>
            </w:r>
          </w:p>
        </w:tc>
      </w:tr>
      <w:tr w:rsidR="00767861" w14:paraId="49D93FD7"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2A1B619C"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CUNDINAMARCA</w:t>
            </w:r>
          </w:p>
        </w:tc>
        <w:tc>
          <w:tcPr>
            <w:tcW w:w="1559" w:type="dxa"/>
            <w:tcBorders>
              <w:top w:val="single" w:sz="4" w:space="0" w:color="auto"/>
              <w:left w:val="single" w:sz="4" w:space="0" w:color="auto"/>
              <w:bottom w:val="single" w:sz="4" w:space="0" w:color="auto"/>
              <w:right w:val="single" w:sz="4" w:space="0" w:color="auto"/>
            </w:tcBorders>
            <w:hideMark/>
          </w:tcPr>
          <w:p w14:paraId="777C5E08"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2.777 </w:t>
            </w:r>
          </w:p>
        </w:tc>
        <w:tc>
          <w:tcPr>
            <w:tcW w:w="1276" w:type="dxa"/>
            <w:tcBorders>
              <w:top w:val="single" w:sz="4" w:space="0" w:color="auto"/>
              <w:left w:val="single" w:sz="4" w:space="0" w:color="auto"/>
              <w:bottom w:val="single" w:sz="4" w:space="0" w:color="auto"/>
              <w:right w:val="single" w:sz="4" w:space="0" w:color="auto"/>
            </w:tcBorders>
            <w:hideMark/>
          </w:tcPr>
          <w:p w14:paraId="79305A3B"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2.897 </w:t>
            </w:r>
          </w:p>
        </w:tc>
        <w:tc>
          <w:tcPr>
            <w:tcW w:w="1984" w:type="dxa"/>
            <w:tcBorders>
              <w:top w:val="single" w:sz="4" w:space="0" w:color="auto"/>
              <w:left w:val="single" w:sz="4" w:space="0" w:color="auto"/>
              <w:bottom w:val="single" w:sz="4" w:space="0" w:color="auto"/>
              <w:right w:val="single" w:sz="4" w:space="0" w:color="auto"/>
            </w:tcBorders>
            <w:hideMark/>
          </w:tcPr>
          <w:p w14:paraId="4F02770E"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1.642 </w:t>
            </w:r>
          </w:p>
        </w:tc>
        <w:tc>
          <w:tcPr>
            <w:tcW w:w="2141" w:type="dxa"/>
            <w:tcBorders>
              <w:top w:val="single" w:sz="4" w:space="0" w:color="auto"/>
              <w:left w:val="single" w:sz="4" w:space="0" w:color="auto"/>
              <w:bottom w:val="single" w:sz="4" w:space="0" w:color="auto"/>
              <w:right w:val="single" w:sz="4" w:space="0" w:color="auto"/>
            </w:tcBorders>
            <w:hideMark/>
          </w:tcPr>
          <w:p w14:paraId="2C9E2409"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1.379 </w:t>
            </w:r>
          </w:p>
        </w:tc>
      </w:tr>
      <w:tr w:rsidR="00767861" w14:paraId="0A80EB00"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2E72FB64"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GUAINIA</w:t>
            </w:r>
          </w:p>
        </w:tc>
        <w:tc>
          <w:tcPr>
            <w:tcW w:w="1559" w:type="dxa"/>
            <w:tcBorders>
              <w:top w:val="single" w:sz="4" w:space="0" w:color="auto"/>
              <w:left w:val="single" w:sz="4" w:space="0" w:color="auto"/>
              <w:bottom w:val="single" w:sz="4" w:space="0" w:color="auto"/>
              <w:right w:val="single" w:sz="4" w:space="0" w:color="auto"/>
            </w:tcBorders>
            <w:hideMark/>
          </w:tcPr>
          <w:p w14:paraId="0C22EE78"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2.542 </w:t>
            </w:r>
          </w:p>
        </w:tc>
        <w:tc>
          <w:tcPr>
            <w:tcW w:w="1276" w:type="dxa"/>
            <w:tcBorders>
              <w:top w:val="single" w:sz="4" w:space="0" w:color="auto"/>
              <w:left w:val="single" w:sz="4" w:space="0" w:color="auto"/>
              <w:bottom w:val="single" w:sz="4" w:space="0" w:color="auto"/>
              <w:right w:val="single" w:sz="4" w:space="0" w:color="auto"/>
            </w:tcBorders>
            <w:hideMark/>
          </w:tcPr>
          <w:p w14:paraId="33231B7B"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2.563 </w:t>
            </w:r>
          </w:p>
        </w:tc>
        <w:tc>
          <w:tcPr>
            <w:tcW w:w="1984" w:type="dxa"/>
            <w:tcBorders>
              <w:top w:val="single" w:sz="4" w:space="0" w:color="auto"/>
              <w:left w:val="single" w:sz="4" w:space="0" w:color="auto"/>
              <w:bottom w:val="single" w:sz="4" w:space="0" w:color="auto"/>
              <w:right w:val="single" w:sz="4" w:space="0" w:color="auto"/>
            </w:tcBorders>
            <w:hideMark/>
          </w:tcPr>
          <w:p w14:paraId="64E205C3"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1.876 </w:t>
            </w:r>
          </w:p>
        </w:tc>
        <w:tc>
          <w:tcPr>
            <w:tcW w:w="2141" w:type="dxa"/>
            <w:tcBorders>
              <w:top w:val="single" w:sz="4" w:space="0" w:color="auto"/>
              <w:left w:val="single" w:sz="4" w:space="0" w:color="auto"/>
              <w:bottom w:val="single" w:sz="4" w:space="0" w:color="auto"/>
              <w:right w:val="single" w:sz="4" w:space="0" w:color="auto"/>
            </w:tcBorders>
            <w:hideMark/>
          </w:tcPr>
          <w:p w14:paraId="4E040000"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1.714 </w:t>
            </w:r>
          </w:p>
        </w:tc>
      </w:tr>
      <w:tr w:rsidR="00767861" w14:paraId="7DA9E19C"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0EC4212A"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GUAVIARE</w:t>
            </w:r>
          </w:p>
        </w:tc>
        <w:tc>
          <w:tcPr>
            <w:tcW w:w="1559" w:type="dxa"/>
            <w:tcBorders>
              <w:top w:val="single" w:sz="4" w:space="0" w:color="auto"/>
              <w:left w:val="single" w:sz="4" w:space="0" w:color="auto"/>
              <w:bottom w:val="single" w:sz="4" w:space="0" w:color="auto"/>
              <w:right w:val="single" w:sz="4" w:space="0" w:color="auto"/>
            </w:tcBorders>
            <w:hideMark/>
          </w:tcPr>
          <w:p w14:paraId="15390AA6"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2.525 </w:t>
            </w:r>
          </w:p>
        </w:tc>
        <w:tc>
          <w:tcPr>
            <w:tcW w:w="1276" w:type="dxa"/>
            <w:tcBorders>
              <w:top w:val="single" w:sz="4" w:space="0" w:color="auto"/>
              <w:left w:val="single" w:sz="4" w:space="0" w:color="auto"/>
              <w:bottom w:val="single" w:sz="4" w:space="0" w:color="auto"/>
              <w:right w:val="single" w:sz="4" w:space="0" w:color="auto"/>
            </w:tcBorders>
            <w:hideMark/>
          </w:tcPr>
          <w:p w14:paraId="485A333C"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2.674 </w:t>
            </w:r>
          </w:p>
        </w:tc>
        <w:tc>
          <w:tcPr>
            <w:tcW w:w="1984" w:type="dxa"/>
            <w:tcBorders>
              <w:top w:val="single" w:sz="4" w:space="0" w:color="auto"/>
              <w:left w:val="single" w:sz="4" w:space="0" w:color="auto"/>
              <w:bottom w:val="single" w:sz="4" w:space="0" w:color="auto"/>
              <w:right w:val="single" w:sz="4" w:space="0" w:color="auto"/>
            </w:tcBorders>
            <w:hideMark/>
          </w:tcPr>
          <w:p w14:paraId="476C4FBA"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1.893 </w:t>
            </w:r>
          </w:p>
        </w:tc>
        <w:tc>
          <w:tcPr>
            <w:tcW w:w="2141" w:type="dxa"/>
            <w:tcBorders>
              <w:top w:val="single" w:sz="4" w:space="0" w:color="auto"/>
              <w:left w:val="single" w:sz="4" w:space="0" w:color="auto"/>
              <w:bottom w:val="single" w:sz="4" w:space="0" w:color="auto"/>
              <w:right w:val="single" w:sz="4" w:space="0" w:color="auto"/>
            </w:tcBorders>
            <w:hideMark/>
          </w:tcPr>
          <w:p w14:paraId="213B5EA0"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1.603 </w:t>
            </w:r>
          </w:p>
        </w:tc>
      </w:tr>
      <w:tr w:rsidR="00767861" w14:paraId="066D623E"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7941146E"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HUILA</w:t>
            </w:r>
          </w:p>
        </w:tc>
        <w:tc>
          <w:tcPr>
            <w:tcW w:w="1559" w:type="dxa"/>
            <w:tcBorders>
              <w:top w:val="single" w:sz="4" w:space="0" w:color="auto"/>
              <w:left w:val="single" w:sz="4" w:space="0" w:color="auto"/>
              <w:bottom w:val="single" w:sz="4" w:space="0" w:color="auto"/>
              <w:right w:val="single" w:sz="4" w:space="0" w:color="auto"/>
            </w:tcBorders>
            <w:hideMark/>
          </w:tcPr>
          <w:p w14:paraId="50B9BC6B"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2.940 </w:t>
            </w:r>
          </w:p>
        </w:tc>
        <w:tc>
          <w:tcPr>
            <w:tcW w:w="1276" w:type="dxa"/>
            <w:tcBorders>
              <w:top w:val="single" w:sz="4" w:space="0" w:color="auto"/>
              <w:left w:val="single" w:sz="4" w:space="0" w:color="auto"/>
              <w:bottom w:val="single" w:sz="4" w:space="0" w:color="auto"/>
              <w:right w:val="single" w:sz="4" w:space="0" w:color="auto"/>
            </w:tcBorders>
            <w:hideMark/>
          </w:tcPr>
          <w:p w14:paraId="007E237A"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3.076 </w:t>
            </w:r>
          </w:p>
        </w:tc>
        <w:tc>
          <w:tcPr>
            <w:tcW w:w="1984" w:type="dxa"/>
            <w:tcBorders>
              <w:top w:val="single" w:sz="4" w:space="0" w:color="auto"/>
              <w:left w:val="single" w:sz="4" w:space="0" w:color="auto"/>
              <w:bottom w:val="single" w:sz="4" w:space="0" w:color="auto"/>
              <w:right w:val="single" w:sz="4" w:space="0" w:color="auto"/>
            </w:tcBorders>
            <w:hideMark/>
          </w:tcPr>
          <w:p w14:paraId="0223A131"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1.479 </w:t>
            </w:r>
          </w:p>
        </w:tc>
        <w:tc>
          <w:tcPr>
            <w:tcW w:w="2141" w:type="dxa"/>
            <w:tcBorders>
              <w:top w:val="single" w:sz="4" w:space="0" w:color="auto"/>
              <w:left w:val="single" w:sz="4" w:space="0" w:color="auto"/>
              <w:bottom w:val="single" w:sz="4" w:space="0" w:color="auto"/>
              <w:right w:val="single" w:sz="4" w:space="0" w:color="auto"/>
            </w:tcBorders>
            <w:hideMark/>
          </w:tcPr>
          <w:p w14:paraId="2BEB8C2D"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1.200 </w:t>
            </w:r>
          </w:p>
        </w:tc>
      </w:tr>
      <w:tr w:rsidR="00767861" w14:paraId="5F4FCF99"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2D5E9F15"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LA GUAJIRA</w:t>
            </w:r>
          </w:p>
        </w:tc>
        <w:tc>
          <w:tcPr>
            <w:tcW w:w="1559" w:type="dxa"/>
            <w:tcBorders>
              <w:top w:val="single" w:sz="4" w:space="0" w:color="auto"/>
              <w:left w:val="single" w:sz="4" w:space="0" w:color="auto"/>
              <w:bottom w:val="single" w:sz="4" w:space="0" w:color="auto"/>
              <w:right w:val="single" w:sz="4" w:space="0" w:color="auto"/>
            </w:tcBorders>
            <w:hideMark/>
          </w:tcPr>
          <w:p w14:paraId="2209AD7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2.815 </w:t>
            </w:r>
          </w:p>
        </w:tc>
        <w:tc>
          <w:tcPr>
            <w:tcW w:w="1276" w:type="dxa"/>
            <w:tcBorders>
              <w:top w:val="single" w:sz="4" w:space="0" w:color="auto"/>
              <w:left w:val="single" w:sz="4" w:space="0" w:color="auto"/>
              <w:bottom w:val="single" w:sz="4" w:space="0" w:color="auto"/>
              <w:right w:val="single" w:sz="4" w:space="0" w:color="auto"/>
            </w:tcBorders>
            <w:hideMark/>
          </w:tcPr>
          <w:p w14:paraId="684FFB8A"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2.783 </w:t>
            </w:r>
          </w:p>
        </w:tc>
        <w:tc>
          <w:tcPr>
            <w:tcW w:w="1984" w:type="dxa"/>
            <w:tcBorders>
              <w:top w:val="single" w:sz="4" w:space="0" w:color="auto"/>
              <w:left w:val="single" w:sz="4" w:space="0" w:color="auto"/>
              <w:bottom w:val="single" w:sz="4" w:space="0" w:color="auto"/>
              <w:right w:val="single" w:sz="4" w:space="0" w:color="auto"/>
            </w:tcBorders>
            <w:hideMark/>
          </w:tcPr>
          <w:p w14:paraId="5F71CEC3"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1.603 </w:t>
            </w:r>
          </w:p>
        </w:tc>
        <w:tc>
          <w:tcPr>
            <w:tcW w:w="2141" w:type="dxa"/>
            <w:tcBorders>
              <w:top w:val="single" w:sz="4" w:space="0" w:color="auto"/>
              <w:left w:val="single" w:sz="4" w:space="0" w:color="auto"/>
              <w:bottom w:val="single" w:sz="4" w:space="0" w:color="auto"/>
              <w:right w:val="single" w:sz="4" w:space="0" w:color="auto"/>
            </w:tcBorders>
            <w:hideMark/>
          </w:tcPr>
          <w:p w14:paraId="2C15E71B"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1.494 </w:t>
            </w:r>
          </w:p>
        </w:tc>
      </w:tr>
      <w:tr w:rsidR="00767861" w14:paraId="23CD9A14"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13DC03CA"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MAGDALENA</w:t>
            </w:r>
          </w:p>
        </w:tc>
        <w:tc>
          <w:tcPr>
            <w:tcW w:w="1559" w:type="dxa"/>
            <w:tcBorders>
              <w:top w:val="single" w:sz="4" w:space="0" w:color="auto"/>
              <w:left w:val="single" w:sz="4" w:space="0" w:color="auto"/>
              <w:bottom w:val="single" w:sz="4" w:space="0" w:color="auto"/>
              <w:right w:val="single" w:sz="4" w:space="0" w:color="auto"/>
            </w:tcBorders>
            <w:hideMark/>
          </w:tcPr>
          <w:p w14:paraId="7A8A22BD"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2.811 </w:t>
            </w:r>
          </w:p>
        </w:tc>
        <w:tc>
          <w:tcPr>
            <w:tcW w:w="1276" w:type="dxa"/>
            <w:tcBorders>
              <w:top w:val="single" w:sz="4" w:space="0" w:color="auto"/>
              <w:left w:val="single" w:sz="4" w:space="0" w:color="auto"/>
              <w:bottom w:val="single" w:sz="4" w:space="0" w:color="auto"/>
              <w:right w:val="single" w:sz="4" w:space="0" w:color="auto"/>
            </w:tcBorders>
            <w:hideMark/>
          </w:tcPr>
          <w:p w14:paraId="20639C02"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2.794 </w:t>
            </w:r>
          </w:p>
        </w:tc>
        <w:tc>
          <w:tcPr>
            <w:tcW w:w="1984" w:type="dxa"/>
            <w:tcBorders>
              <w:top w:val="single" w:sz="4" w:space="0" w:color="auto"/>
              <w:left w:val="single" w:sz="4" w:space="0" w:color="auto"/>
              <w:bottom w:val="single" w:sz="4" w:space="0" w:color="auto"/>
              <w:right w:val="single" w:sz="4" w:space="0" w:color="auto"/>
            </w:tcBorders>
            <w:hideMark/>
          </w:tcPr>
          <w:p w14:paraId="2864A935"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1.608 </w:t>
            </w:r>
          </w:p>
        </w:tc>
        <w:tc>
          <w:tcPr>
            <w:tcW w:w="2141" w:type="dxa"/>
            <w:tcBorders>
              <w:top w:val="single" w:sz="4" w:space="0" w:color="auto"/>
              <w:left w:val="single" w:sz="4" w:space="0" w:color="auto"/>
              <w:bottom w:val="single" w:sz="4" w:space="0" w:color="auto"/>
              <w:right w:val="single" w:sz="4" w:space="0" w:color="auto"/>
            </w:tcBorders>
            <w:hideMark/>
          </w:tcPr>
          <w:p w14:paraId="38BC1DBC"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1.483 </w:t>
            </w:r>
          </w:p>
        </w:tc>
      </w:tr>
      <w:tr w:rsidR="00767861" w14:paraId="22370937"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219CB082"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META</w:t>
            </w:r>
          </w:p>
        </w:tc>
        <w:tc>
          <w:tcPr>
            <w:tcW w:w="1559" w:type="dxa"/>
            <w:tcBorders>
              <w:top w:val="single" w:sz="4" w:space="0" w:color="auto"/>
              <w:left w:val="single" w:sz="4" w:space="0" w:color="auto"/>
              <w:bottom w:val="single" w:sz="4" w:space="0" w:color="auto"/>
              <w:right w:val="single" w:sz="4" w:space="0" w:color="auto"/>
            </w:tcBorders>
            <w:hideMark/>
          </w:tcPr>
          <w:p w14:paraId="132C2A65"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2.879 </w:t>
            </w:r>
          </w:p>
        </w:tc>
        <w:tc>
          <w:tcPr>
            <w:tcW w:w="1276" w:type="dxa"/>
            <w:tcBorders>
              <w:top w:val="single" w:sz="4" w:space="0" w:color="auto"/>
              <w:left w:val="single" w:sz="4" w:space="0" w:color="auto"/>
              <w:bottom w:val="single" w:sz="4" w:space="0" w:color="auto"/>
              <w:right w:val="single" w:sz="4" w:space="0" w:color="auto"/>
            </w:tcBorders>
            <w:hideMark/>
          </w:tcPr>
          <w:p w14:paraId="20631CE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2.896 </w:t>
            </w:r>
          </w:p>
        </w:tc>
        <w:tc>
          <w:tcPr>
            <w:tcW w:w="1984" w:type="dxa"/>
            <w:tcBorders>
              <w:top w:val="single" w:sz="4" w:space="0" w:color="auto"/>
              <w:left w:val="single" w:sz="4" w:space="0" w:color="auto"/>
              <w:bottom w:val="single" w:sz="4" w:space="0" w:color="auto"/>
              <w:right w:val="single" w:sz="4" w:space="0" w:color="auto"/>
            </w:tcBorders>
            <w:hideMark/>
          </w:tcPr>
          <w:p w14:paraId="15581326"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1.539 </w:t>
            </w:r>
          </w:p>
        </w:tc>
        <w:tc>
          <w:tcPr>
            <w:tcW w:w="2141" w:type="dxa"/>
            <w:tcBorders>
              <w:top w:val="single" w:sz="4" w:space="0" w:color="auto"/>
              <w:left w:val="single" w:sz="4" w:space="0" w:color="auto"/>
              <w:bottom w:val="single" w:sz="4" w:space="0" w:color="auto"/>
              <w:right w:val="single" w:sz="4" w:space="0" w:color="auto"/>
            </w:tcBorders>
            <w:hideMark/>
          </w:tcPr>
          <w:p w14:paraId="6EE354BF"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1.381 </w:t>
            </w:r>
          </w:p>
        </w:tc>
      </w:tr>
      <w:tr w:rsidR="00767861" w14:paraId="2D713E88"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34695720"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NARINO</w:t>
            </w:r>
          </w:p>
        </w:tc>
        <w:tc>
          <w:tcPr>
            <w:tcW w:w="1559" w:type="dxa"/>
            <w:tcBorders>
              <w:top w:val="single" w:sz="4" w:space="0" w:color="auto"/>
              <w:left w:val="single" w:sz="4" w:space="0" w:color="auto"/>
              <w:bottom w:val="single" w:sz="4" w:space="0" w:color="auto"/>
              <w:right w:val="single" w:sz="4" w:space="0" w:color="auto"/>
            </w:tcBorders>
            <w:hideMark/>
          </w:tcPr>
          <w:p w14:paraId="48403FCA"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3.161 </w:t>
            </w:r>
          </w:p>
        </w:tc>
        <w:tc>
          <w:tcPr>
            <w:tcW w:w="1276" w:type="dxa"/>
            <w:tcBorders>
              <w:top w:val="single" w:sz="4" w:space="0" w:color="auto"/>
              <w:left w:val="single" w:sz="4" w:space="0" w:color="auto"/>
              <w:bottom w:val="single" w:sz="4" w:space="0" w:color="auto"/>
              <w:right w:val="single" w:sz="4" w:space="0" w:color="auto"/>
            </w:tcBorders>
            <w:hideMark/>
          </w:tcPr>
          <w:p w14:paraId="63DC0810"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3.129 </w:t>
            </w:r>
          </w:p>
        </w:tc>
        <w:tc>
          <w:tcPr>
            <w:tcW w:w="1984" w:type="dxa"/>
            <w:tcBorders>
              <w:top w:val="single" w:sz="4" w:space="0" w:color="auto"/>
              <w:left w:val="single" w:sz="4" w:space="0" w:color="auto"/>
              <w:bottom w:val="single" w:sz="4" w:space="0" w:color="auto"/>
              <w:right w:val="single" w:sz="4" w:space="0" w:color="auto"/>
            </w:tcBorders>
            <w:hideMark/>
          </w:tcPr>
          <w:p w14:paraId="0B2E4C4C"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1.258 </w:t>
            </w:r>
          </w:p>
        </w:tc>
        <w:tc>
          <w:tcPr>
            <w:tcW w:w="2141" w:type="dxa"/>
            <w:tcBorders>
              <w:top w:val="single" w:sz="4" w:space="0" w:color="auto"/>
              <w:left w:val="single" w:sz="4" w:space="0" w:color="auto"/>
              <w:bottom w:val="single" w:sz="4" w:space="0" w:color="auto"/>
              <w:right w:val="single" w:sz="4" w:space="0" w:color="auto"/>
            </w:tcBorders>
            <w:hideMark/>
          </w:tcPr>
          <w:p w14:paraId="0A31A41A"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1.148 </w:t>
            </w:r>
          </w:p>
        </w:tc>
      </w:tr>
      <w:tr w:rsidR="00767861" w14:paraId="614EF97B"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6C78AD03"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NORTE DE SANTANDER</w:t>
            </w:r>
          </w:p>
        </w:tc>
        <w:tc>
          <w:tcPr>
            <w:tcW w:w="1559" w:type="dxa"/>
            <w:tcBorders>
              <w:top w:val="single" w:sz="4" w:space="0" w:color="auto"/>
              <w:left w:val="single" w:sz="4" w:space="0" w:color="auto"/>
              <w:bottom w:val="single" w:sz="4" w:space="0" w:color="auto"/>
              <w:right w:val="single" w:sz="4" w:space="0" w:color="auto"/>
            </w:tcBorders>
            <w:hideMark/>
          </w:tcPr>
          <w:p w14:paraId="6C924279"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2.963 </w:t>
            </w:r>
          </w:p>
        </w:tc>
        <w:tc>
          <w:tcPr>
            <w:tcW w:w="1276" w:type="dxa"/>
            <w:tcBorders>
              <w:top w:val="single" w:sz="4" w:space="0" w:color="auto"/>
              <w:left w:val="single" w:sz="4" w:space="0" w:color="auto"/>
              <w:bottom w:val="single" w:sz="4" w:space="0" w:color="auto"/>
              <w:right w:val="single" w:sz="4" w:space="0" w:color="auto"/>
            </w:tcBorders>
            <w:hideMark/>
          </w:tcPr>
          <w:p w14:paraId="420D1BDC"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2.876 </w:t>
            </w:r>
          </w:p>
        </w:tc>
        <w:tc>
          <w:tcPr>
            <w:tcW w:w="1984" w:type="dxa"/>
            <w:tcBorders>
              <w:top w:val="single" w:sz="4" w:space="0" w:color="auto"/>
              <w:left w:val="single" w:sz="4" w:space="0" w:color="auto"/>
              <w:bottom w:val="single" w:sz="4" w:space="0" w:color="auto"/>
              <w:right w:val="single" w:sz="4" w:space="0" w:color="auto"/>
            </w:tcBorders>
            <w:hideMark/>
          </w:tcPr>
          <w:p w14:paraId="0BF2A329"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1.455 </w:t>
            </w:r>
          </w:p>
        </w:tc>
        <w:tc>
          <w:tcPr>
            <w:tcW w:w="2141" w:type="dxa"/>
            <w:tcBorders>
              <w:top w:val="single" w:sz="4" w:space="0" w:color="auto"/>
              <w:left w:val="single" w:sz="4" w:space="0" w:color="auto"/>
              <w:bottom w:val="single" w:sz="4" w:space="0" w:color="auto"/>
              <w:right w:val="single" w:sz="4" w:space="0" w:color="auto"/>
            </w:tcBorders>
            <w:hideMark/>
          </w:tcPr>
          <w:p w14:paraId="766A265F"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1.401 </w:t>
            </w:r>
          </w:p>
        </w:tc>
      </w:tr>
      <w:tr w:rsidR="00767861" w14:paraId="7E14637F"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2DC5BDF9"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PUTUMAYO</w:t>
            </w:r>
          </w:p>
        </w:tc>
        <w:tc>
          <w:tcPr>
            <w:tcW w:w="1559" w:type="dxa"/>
            <w:tcBorders>
              <w:top w:val="single" w:sz="4" w:space="0" w:color="auto"/>
              <w:left w:val="single" w:sz="4" w:space="0" w:color="auto"/>
              <w:bottom w:val="single" w:sz="4" w:space="0" w:color="auto"/>
              <w:right w:val="single" w:sz="4" w:space="0" w:color="auto"/>
            </w:tcBorders>
            <w:hideMark/>
          </w:tcPr>
          <w:p w14:paraId="1615CE9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2.870 </w:t>
            </w:r>
          </w:p>
        </w:tc>
        <w:tc>
          <w:tcPr>
            <w:tcW w:w="1276" w:type="dxa"/>
            <w:tcBorders>
              <w:top w:val="single" w:sz="4" w:space="0" w:color="auto"/>
              <w:left w:val="single" w:sz="4" w:space="0" w:color="auto"/>
              <w:bottom w:val="single" w:sz="4" w:space="0" w:color="auto"/>
              <w:right w:val="single" w:sz="4" w:space="0" w:color="auto"/>
            </w:tcBorders>
            <w:hideMark/>
          </w:tcPr>
          <w:p w14:paraId="5DA2C46D"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2.973 </w:t>
            </w:r>
          </w:p>
        </w:tc>
        <w:tc>
          <w:tcPr>
            <w:tcW w:w="1984" w:type="dxa"/>
            <w:tcBorders>
              <w:top w:val="single" w:sz="4" w:space="0" w:color="auto"/>
              <w:left w:val="single" w:sz="4" w:space="0" w:color="auto"/>
              <w:bottom w:val="single" w:sz="4" w:space="0" w:color="auto"/>
              <w:right w:val="single" w:sz="4" w:space="0" w:color="auto"/>
            </w:tcBorders>
            <w:hideMark/>
          </w:tcPr>
          <w:p w14:paraId="4856806F"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1.548 </w:t>
            </w:r>
          </w:p>
        </w:tc>
        <w:tc>
          <w:tcPr>
            <w:tcW w:w="2141" w:type="dxa"/>
            <w:tcBorders>
              <w:top w:val="single" w:sz="4" w:space="0" w:color="auto"/>
              <w:left w:val="single" w:sz="4" w:space="0" w:color="auto"/>
              <w:bottom w:val="single" w:sz="4" w:space="0" w:color="auto"/>
              <w:right w:val="single" w:sz="4" w:space="0" w:color="auto"/>
            </w:tcBorders>
            <w:hideMark/>
          </w:tcPr>
          <w:p w14:paraId="3989FF50"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1.303 </w:t>
            </w:r>
          </w:p>
        </w:tc>
      </w:tr>
      <w:tr w:rsidR="00767861" w14:paraId="50925931"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6F39EB41"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QUINDIO</w:t>
            </w:r>
          </w:p>
        </w:tc>
        <w:tc>
          <w:tcPr>
            <w:tcW w:w="1559" w:type="dxa"/>
            <w:tcBorders>
              <w:top w:val="single" w:sz="4" w:space="0" w:color="auto"/>
              <w:left w:val="single" w:sz="4" w:space="0" w:color="auto"/>
              <w:bottom w:val="single" w:sz="4" w:space="0" w:color="auto"/>
              <w:right w:val="single" w:sz="4" w:space="0" w:color="auto"/>
            </w:tcBorders>
            <w:hideMark/>
          </w:tcPr>
          <w:p w14:paraId="1C03210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2.911 </w:t>
            </w:r>
          </w:p>
        </w:tc>
        <w:tc>
          <w:tcPr>
            <w:tcW w:w="1276" w:type="dxa"/>
            <w:tcBorders>
              <w:top w:val="single" w:sz="4" w:space="0" w:color="auto"/>
              <w:left w:val="single" w:sz="4" w:space="0" w:color="auto"/>
              <w:bottom w:val="single" w:sz="4" w:space="0" w:color="auto"/>
              <w:right w:val="single" w:sz="4" w:space="0" w:color="auto"/>
            </w:tcBorders>
            <w:hideMark/>
          </w:tcPr>
          <w:p w14:paraId="3F16486E"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2.927 </w:t>
            </w:r>
          </w:p>
        </w:tc>
        <w:tc>
          <w:tcPr>
            <w:tcW w:w="1984" w:type="dxa"/>
            <w:tcBorders>
              <w:top w:val="single" w:sz="4" w:space="0" w:color="auto"/>
              <w:left w:val="single" w:sz="4" w:space="0" w:color="auto"/>
              <w:bottom w:val="single" w:sz="4" w:space="0" w:color="auto"/>
              <w:right w:val="single" w:sz="4" w:space="0" w:color="auto"/>
            </w:tcBorders>
            <w:hideMark/>
          </w:tcPr>
          <w:p w14:paraId="54E583B8"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1.507 </w:t>
            </w:r>
          </w:p>
        </w:tc>
        <w:tc>
          <w:tcPr>
            <w:tcW w:w="2141" w:type="dxa"/>
            <w:tcBorders>
              <w:top w:val="single" w:sz="4" w:space="0" w:color="auto"/>
              <w:left w:val="single" w:sz="4" w:space="0" w:color="auto"/>
              <w:bottom w:val="single" w:sz="4" w:space="0" w:color="auto"/>
              <w:right w:val="single" w:sz="4" w:space="0" w:color="auto"/>
            </w:tcBorders>
            <w:hideMark/>
          </w:tcPr>
          <w:p w14:paraId="03FB08EF"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1.350 </w:t>
            </w:r>
          </w:p>
        </w:tc>
      </w:tr>
      <w:tr w:rsidR="00767861" w14:paraId="0873C462"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197498A0"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RISARALDA</w:t>
            </w:r>
          </w:p>
        </w:tc>
        <w:tc>
          <w:tcPr>
            <w:tcW w:w="1559" w:type="dxa"/>
            <w:tcBorders>
              <w:top w:val="single" w:sz="4" w:space="0" w:color="auto"/>
              <w:left w:val="single" w:sz="4" w:space="0" w:color="auto"/>
              <w:bottom w:val="single" w:sz="4" w:space="0" w:color="auto"/>
              <w:right w:val="single" w:sz="4" w:space="0" w:color="auto"/>
            </w:tcBorders>
            <w:hideMark/>
          </w:tcPr>
          <w:p w14:paraId="290FF437"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2.944 </w:t>
            </w:r>
          </w:p>
        </w:tc>
        <w:tc>
          <w:tcPr>
            <w:tcW w:w="1276" w:type="dxa"/>
            <w:tcBorders>
              <w:top w:val="single" w:sz="4" w:space="0" w:color="auto"/>
              <w:left w:val="single" w:sz="4" w:space="0" w:color="auto"/>
              <w:bottom w:val="single" w:sz="4" w:space="0" w:color="auto"/>
              <w:right w:val="single" w:sz="4" w:space="0" w:color="auto"/>
            </w:tcBorders>
            <w:hideMark/>
          </w:tcPr>
          <w:p w14:paraId="64189D66"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3.006 </w:t>
            </w:r>
          </w:p>
        </w:tc>
        <w:tc>
          <w:tcPr>
            <w:tcW w:w="1984" w:type="dxa"/>
            <w:tcBorders>
              <w:top w:val="single" w:sz="4" w:space="0" w:color="auto"/>
              <w:left w:val="single" w:sz="4" w:space="0" w:color="auto"/>
              <w:bottom w:val="single" w:sz="4" w:space="0" w:color="auto"/>
              <w:right w:val="single" w:sz="4" w:space="0" w:color="auto"/>
            </w:tcBorders>
            <w:hideMark/>
          </w:tcPr>
          <w:p w14:paraId="1F5B2D78"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1.474 </w:t>
            </w:r>
          </w:p>
        </w:tc>
        <w:tc>
          <w:tcPr>
            <w:tcW w:w="2141" w:type="dxa"/>
            <w:tcBorders>
              <w:top w:val="single" w:sz="4" w:space="0" w:color="auto"/>
              <w:left w:val="single" w:sz="4" w:space="0" w:color="auto"/>
              <w:bottom w:val="single" w:sz="4" w:space="0" w:color="auto"/>
              <w:right w:val="single" w:sz="4" w:space="0" w:color="auto"/>
            </w:tcBorders>
            <w:hideMark/>
          </w:tcPr>
          <w:p w14:paraId="07EC1F27"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1.270 </w:t>
            </w:r>
          </w:p>
        </w:tc>
      </w:tr>
      <w:tr w:rsidR="00767861" w14:paraId="10A67134"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5C419354"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SANTANDER</w:t>
            </w:r>
          </w:p>
        </w:tc>
        <w:tc>
          <w:tcPr>
            <w:tcW w:w="1559" w:type="dxa"/>
            <w:tcBorders>
              <w:top w:val="single" w:sz="4" w:space="0" w:color="auto"/>
              <w:left w:val="single" w:sz="4" w:space="0" w:color="auto"/>
              <w:bottom w:val="single" w:sz="4" w:space="0" w:color="auto"/>
              <w:right w:val="single" w:sz="4" w:space="0" w:color="auto"/>
            </w:tcBorders>
            <w:hideMark/>
          </w:tcPr>
          <w:p w14:paraId="5ABDF267"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2.918 </w:t>
            </w:r>
          </w:p>
        </w:tc>
        <w:tc>
          <w:tcPr>
            <w:tcW w:w="1276" w:type="dxa"/>
            <w:tcBorders>
              <w:top w:val="single" w:sz="4" w:space="0" w:color="auto"/>
              <w:left w:val="single" w:sz="4" w:space="0" w:color="auto"/>
              <w:bottom w:val="single" w:sz="4" w:space="0" w:color="auto"/>
              <w:right w:val="single" w:sz="4" w:space="0" w:color="auto"/>
            </w:tcBorders>
            <w:hideMark/>
          </w:tcPr>
          <w:p w14:paraId="4409410B"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2.825 </w:t>
            </w:r>
          </w:p>
        </w:tc>
        <w:tc>
          <w:tcPr>
            <w:tcW w:w="1984" w:type="dxa"/>
            <w:tcBorders>
              <w:top w:val="single" w:sz="4" w:space="0" w:color="auto"/>
              <w:left w:val="single" w:sz="4" w:space="0" w:color="auto"/>
              <w:bottom w:val="single" w:sz="4" w:space="0" w:color="auto"/>
              <w:right w:val="single" w:sz="4" w:space="0" w:color="auto"/>
            </w:tcBorders>
            <w:hideMark/>
          </w:tcPr>
          <w:p w14:paraId="321124DB"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1.501 </w:t>
            </w:r>
          </w:p>
        </w:tc>
        <w:tc>
          <w:tcPr>
            <w:tcW w:w="2141" w:type="dxa"/>
            <w:tcBorders>
              <w:top w:val="single" w:sz="4" w:space="0" w:color="auto"/>
              <w:left w:val="single" w:sz="4" w:space="0" w:color="auto"/>
              <w:bottom w:val="single" w:sz="4" w:space="0" w:color="auto"/>
              <w:right w:val="single" w:sz="4" w:space="0" w:color="auto"/>
            </w:tcBorders>
            <w:hideMark/>
          </w:tcPr>
          <w:p w14:paraId="56BFA193"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1.452 </w:t>
            </w:r>
          </w:p>
        </w:tc>
      </w:tr>
      <w:tr w:rsidR="00767861" w14:paraId="7A5C8373"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5C518179"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SUCRE</w:t>
            </w:r>
          </w:p>
        </w:tc>
        <w:tc>
          <w:tcPr>
            <w:tcW w:w="1559" w:type="dxa"/>
            <w:tcBorders>
              <w:top w:val="single" w:sz="4" w:space="0" w:color="auto"/>
              <w:left w:val="single" w:sz="4" w:space="0" w:color="auto"/>
              <w:bottom w:val="single" w:sz="4" w:space="0" w:color="auto"/>
              <w:right w:val="single" w:sz="4" w:space="0" w:color="auto"/>
            </w:tcBorders>
            <w:hideMark/>
          </w:tcPr>
          <w:p w14:paraId="3DE0F7E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3.161 </w:t>
            </w:r>
          </w:p>
        </w:tc>
        <w:tc>
          <w:tcPr>
            <w:tcW w:w="1276" w:type="dxa"/>
            <w:tcBorders>
              <w:top w:val="single" w:sz="4" w:space="0" w:color="auto"/>
              <w:left w:val="single" w:sz="4" w:space="0" w:color="auto"/>
              <w:bottom w:val="single" w:sz="4" w:space="0" w:color="auto"/>
              <w:right w:val="single" w:sz="4" w:space="0" w:color="auto"/>
            </w:tcBorders>
            <w:hideMark/>
          </w:tcPr>
          <w:p w14:paraId="7A92C61C"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3.119 </w:t>
            </w:r>
          </w:p>
        </w:tc>
        <w:tc>
          <w:tcPr>
            <w:tcW w:w="1984" w:type="dxa"/>
            <w:tcBorders>
              <w:top w:val="single" w:sz="4" w:space="0" w:color="auto"/>
              <w:left w:val="single" w:sz="4" w:space="0" w:color="auto"/>
              <w:bottom w:val="single" w:sz="4" w:space="0" w:color="auto"/>
              <w:right w:val="single" w:sz="4" w:space="0" w:color="auto"/>
            </w:tcBorders>
            <w:hideMark/>
          </w:tcPr>
          <w:p w14:paraId="6BC709AB"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1.257 </w:t>
            </w:r>
          </w:p>
        </w:tc>
        <w:tc>
          <w:tcPr>
            <w:tcW w:w="2141" w:type="dxa"/>
            <w:tcBorders>
              <w:top w:val="single" w:sz="4" w:space="0" w:color="auto"/>
              <w:left w:val="single" w:sz="4" w:space="0" w:color="auto"/>
              <w:bottom w:val="single" w:sz="4" w:space="0" w:color="auto"/>
              <w:right w:val="single" w:sz="4" w:space="0" w:color="auto"/>
            </w:tcBorders>
            <w:hideMark/>
          </w:tcPr>
          <w:p w14:paraId="4DCADBBB"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1.158 </w:t>
            </w:r>
          </w:p>
        </w:tc>
      </w:tr>
      <w:tr w:rsidR="00767861" w14:paraId="4D5992F3"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4A2BCFE8"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TOLIMA</w:t>
            </w:r>
          </w:p>
        </w:tc>
        <w:tc>
          <w:tcPr>
            <w:tcW w:w="1559" w:type="dxa"/>
            <w:tcBorders>
              <w:top w:val="single" w:sz="4" w:space="0" w:color="auto"/>
              <w:left w:val="single" w:sz="4" w:space="0" w:color="auto"/>
              <w:bottom w:val="single" w:sz="4" w:space="0" w:color="auto"/>
              <w:right w:val="single" w:sz="4" w:space="0" w:color="auto"/>
            </w:tcBorders>
            <w:hideMark/>
          </w:tcPr>
          <w:p w14:paraId="0DD3DE50"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2.582 </w:t>
            </w:r>
          </w:p>
        </w:tc>
        <w:tc>
          <w:tcPr>
            <w:tcW w:w="1276" w:type="dxa"/>
            <w:tcBorders>
              <w:top w:val="single" w:sz="4" w:space="0" w:color="auto"/>
              <w:left w:val="single" w:sz="4" w:space="0" w:color="auto"/>
              <w:bottom w:val="single" w:sz="4" w:space="0" w:color="auto"/>
              <w:right w:val="single" w:sz="4" w:space="0" w:color="auto"/>
            </w:tcBorders>
            <w:hideMark/>
          </w:tcPr>
          <w:p w14:paraId="14044D2D"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2.711 </w:t>
            </w:r>
          </w:p>
        </w:tc>
        <w:tc>
          <w:tcPr>
            <w:tcW w:w="1984" w:type="dxa"/>
            <w:tcBorders>
              <w:top w:val="single" w:sz="4" w:space="0" w:color="auto"/>
              <w:left w:val="single" w:sz="4" w:space="0" w:color="auto"/>
              <w:bottom w:val="single" w:sz="4" w:space="0" w:color="auto"/>
              <w:right w:val="single" w:sz="4" w:space="0" w:color="auto"/>
            </w:tcBorders>
            <w:hideMark/>
          </w:tcPr>
          <w:p w14:paraId="04116DF9"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1.836 </w:t>
            </w:r>
          </w:p>
        </w:tc>
        <w:tc>
          <w:tcPr>
            <w:tcW w:w="2141" w:type="dxa"/>
            <w:tcBorders>
              <w:top w:val="single" w:sz="4" w:space="0" w:color="auto"/>
              <w:left w:val="single" w:sz="4" w:space="0" w:color="auto"/>
              <w:bottom w:val="single" w:sz="4" w:space="0" w:color="auto"/>
              <w:right w:val="single" w:sz="4" w:space="0" w:color="auto"/>
            </w:tcBorders>
            <w:hideMark/>
          </w:tcPr>
          <w:p w14:paraId="2BB4ACE5"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1.566 </w:t>
            </w:r>
          </w:p>
        </w:tc>
      </w:tr>
      <w:tr w:rsidR="00767861" w14:paraId="77F83722"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0067523E"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VALLE DEL CAUCA</w:t>
            </w:r>
          </w:p>
        </w:tc>
        <w:tc>
          <w:tcPr>
            <w:tcW w:w="1559" w:type="dxa"/>
            <w:tcBorders>
              <w:top w:val="single" w:sz="4" w:space="0" w:color="auto"/>
              <w:left w:val="single" w:sz="4" w:space="0" w:color="auto"/>
              <w:bottom w:val="single" w:sz="4" w:space="0" w:color="auto"/>
              <w:right w:val="single" w:sz="4" w:space="0" w:color="auto"/>
            </w:tcBorders>
            <w:hideMark/>
          </w:tcPr>
          <w:p w14:paraId="16CABF76"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2.974 </w:t>
            </w:r>
          </w:p>
        </w:tc>
        <w:tc>
          <w:tcPr>
            <w:tcW w:w="1276" w:type="dxa"/>
            <w:tcBorders>
              <w:top w:val="single" w:sz="4" w:space="0" w:color="auto"/>
              <w:left w:val="single" w:sz="4" w:space="0" w:color="auto"/>
              <w:bottom w:val="single" w:sz="4" w:space="0" w:color="auto"/>
              <w:right w:val="single" w:sz="4" w:space="0" w:color="auto"/>
            </w:tcBorders>
            <w:hideMark/>
          </w:tcPr>
          <w:p w14:paraId="7B1FC86A"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3.050 </w:t>
            </w:r>
          </w:p>
        </w:tc>
        <w:tc>
          <w:tcPr>
            <w:tcW w:w="1984" w:type="dxa"/>
            <w:tcBorders>
              <w:top w:val="single" w:sz="4" w:space="0" w:color="auto"/>
              <w:left w:val="single" w:sz="4" w:space="0" w:color="auto"/>
              <w:bottom w:val="single" w:sz="4" w:space="0" w:color="auto"/>
              <w:right w:val="single" w:sz="4" w:space="0" w:color="auto"/>
            </w:tcBorders>
            <w:hideMark/>
          </w:tcPr>
          <w:p w14:paraId="0D587BB6"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1.444 </w:t>
            </w:r>
          </w:p>
        </w:tc>
        <w:tc>
          <w:tcPr>
            <w:tcW w:w="2141" w:type="dxa"/>
            <w:tcBorders>
              <w:top w:val="single" w:sz="4" w:space="0" w:color="auto"/>
              <w:left w:val="single" w:sz="4" w:space="0" w:color="auto"/>
              <w:bottom w:val="single" w:sz="4" w:space="0" w:color="auto"/>
              <w:right w:val="single" w:sz="4" w:space="0" w:color="auto"/>
            </w:tcBorders>
            <w:hideMark/>
          </w:tcPr>
          <w:p w14:paraId="168E9BB5"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1.226 </w:t>
            </w:r>
          </w:p>
        </w:tc>
      </w:tr>
      <w:tr w:rsidR="00767861" w14:paraId="75C3929E" w14:textId="77777777" w:rsidTr="00767861">
        <w:trPr>
          <w:trHeight w:val="300"/>
        </w:trPr>
        <w:tc>
          <w:tcPr>
            <w:tcW w:w="2660" w:type="dxa"/>
            <w:tcBorders>
              <w:top w:val="single" w:sz="4" w:space="0" w:color="auto"/>
              <w:left w:val="single" w:sz="4" w:space="0" w:color="auto"/>
              <w:bottom w:val="single" w:sz="4" w:space="0" w:color="auto"/>
              <w:right w:val="single" w:sz="4" w:space="0" w:color="auto"/>
            </w:tcBorders>
            <w:noWrap/>
            <w:hideMark/>
          </w:tcPr>
          <w:p w14:paraId="0867FF07" w14:textId="77777777" w:rsidR="00767861" w:rsidRDefault="00767861">
            <w:pPr>
              <w:rPr>
                <w:rFonts w:ascii="Work Sans" w:eastAsia="Times New Roman" w:hAnsi="Work Sans" w:cs="Times New Roman"/>
                <w:color w:val="000000"/>
                <w:lang w:eastAsia="es-CO"/>
              </w:rPr>
            </w:pPr>
            <w:r>
              <w:rPr>
                <w:rFonts w:ascii="Work Sans" w:eastAsia="Times New Roman" w:hAnsi="Work Sans" w:cs="Times New Roman"/>
                <w:color w:val="000000"/>
                <w:lang w:eastAsia="es-CO"/>
              </w:rPr>
              <w:t>VICHADA</w:t>
            </w:r>
          </w:p>
        </w:tc>
        <w:tc>
          <w:tcPr>
            <w:tcW w:w="1559" w:type="dxa"/>
            <w:tcBorders>
              <w:top w:val="single" w:sz="4" w:space="0" w:color="auto"/>
              <w:left w:val="single" w:sz="4" w:space="0" w:color="auto"/>
              <w:bottom w:val="single" w:sz="4" w:space="0" w:color="auto"/>
              <w:right w:val="single" w:sz="4" w:space="0" w:color="auto"/>
            </w:tcBorders>
            <w:hideMark/>
          </w:tcPr>
          <w:p w14:paraId="18AF63C5"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1.960 </w:t>
            </w:r>
          </w:p>
        </w:tc>
        <w:tc>
          <w:tcPr>
            <w:tcW w:w="1276" w:type="dxa"/>
            <w:tcBorders>
              <w:top w:val="single" w:sz="4" w:space="0" w:color="auto"/>
              <w:left w:val="single" w:sz="4" w:space="0" w:color="auto"/>
              <w:bottom w:val="single" w:sz="4" w:space="0" w:color="auto"/>
              <w:right w:val="single" w:sz="4" w:space="0" w:color="auto"/>
            </w:tcBorders>
            <w:hideMark/>
          </w:tcPr>
          <w:p w14:paraId="1B934733"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2.016 </w:t>
            </w:r>
          </w:p>
        </w:tc>
        <w:tc>
          <w:tcPr>
            <w:tcW w:w="1984" w:type="dxa"/>
            <w:tcBorders>
              <w:top w:val="single" w:sz="4" w:space="0" w:color="auto"/>
              <w:left w:val="single" w:sz="4" w:space="0" w:color="auto"/>
              <w:bottom w:val="single" w:sz="4" w:space="0" w:color="auto"/>
              <w:right w:val="single" w:sz="4" w:space="0" w:color="auto"/>
            </w:tcBorders>
            <w:hideMark/>
          </w:tcPr>
          <w:p w14:paraId="7C1F1FB4"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2.458 </w:t>
            </w:r>
          </w:p>
        </w:tc>
        <w:tc>
          <w:tcPr>
            <w:tcW w:w="2141" w:type="dxa"/>
            <w:tcBorders>
              <w:top w:val="single" w:sz="4" w:space="0" w:color="auto"/>
              <w:left w:val="single" w:sz="4" w:space="0" w:color="auto"/>
              <w:bottom w:val="single" w:sz="4" w:space="0" w:color="auto"/>
              <w:right w:val="single" w:sz="4" w:space="0" w:color="auto"/>
            </w:tcBorders>
            <w:hideMark/>
          </w:tcPr>
          <w:p w14:paraId="511034BA" w14:textId="77777777" w:rsidR="00767861" w:rsidRDefault="00767861">
            <w:pPr>
              <w:jc w:val="right"/>
              <w:rPr>
                <w:rFonts w:ascii="Work Sans" w:eastAsia="Times New Roman" w:hAnsi="Work Sans" w:cs="Times New Roman"/>
                <w:color w:val="000000"/>
                <w:lang w:eastAsia="es-CO"/>
              </w:rPr>
            </w:pPr>
            <w:r>
              <w:rPr>
                <w:rFonts w:ascii="Work Sans" w:hAnsi="Work Sans"/>
              </w:rPr>
              <w:t xml:space="preserve"> 2.260 </w:t>
            </w:r>
          </w:p>
        </w:tc>
      </w:tr>
    </w:tbl>
    <w:p w14:paraId="6ADCA970" w14:textId="77777777" w:rsidR="00767861" w:rsidRDefault="00767861" w:rsidP="00767861">
      <w:pPr>
        <w:pStyle w:val="Textoindependiente"/>
        <w:rPr>
          <w:rFonts w:ascii="Work Sans" w:hAnsi="Work Sans" w:cs="Arial"/>
          <w:sz w:val="18"/>
          <w:szCs w:val="22"/>
        </w:rPr>
      </w:pPr>
      <w:r>
        <w:rPr>
          <w:rFonts w:ascii="Work Sans" w:hAnsi="Work Sans" w:cs="Arial"/>
          <w:b/>
          <w:sz w:val="18"/>
          <w:szCs w:val="22"/>
        </w:rPr>
        <w:t>Fuente:</w:t>
      </w:r>
      <w:r>
        <w:rPr>
          <w:rFonts w:ascii="Work Sans" w:hAnsi="Work Sans" w:cs="Arial"/>
          <w:sz w:val="18"/>
          <w:szCs w:val="22"/>
        </w:rPr>
        <w:t xml:space="preserve"> Sistema Único de Información (SUI), cálculos propios.</w:t>
      </w:r>
    </w:p>
    <w:p w14:paraId="2E5D1936" w14:textId="77777777" w:rsidR="00767861" w:rsidRDefault="00767861" w:rsidP="00767861">
      <w:pPr>
        <w:pStyle w:val="Textoindependiente"/>
        <w:rPr>
          <w:rFonts w:ascii="Work Sans" w:hAnsi="Work Sans" w:cs="Arial"/>
          <w:sz w:val="18"/>
          <w:szCs w:val="22"/>
        </w:rPr>
      </w:pPr>
      <w:r>
        <w:rPr>
          <w:rFonts w:ascii="Work Sans" w:hAnsi="Work Sans" w:cs="Arial"/>
          <w:b/>
          <w:sz w:val="18"/>
          <w:szCs w:val="22"/>
        </w:rPr>
        <w:t>Nota:</w:t>
      </w:r>
      <w:r>
        <w:rPr>
          <w:rFonts w:ascii="Work Sans" w:hAnsi="Work Sans" w:cs="Arial"/>
          <w:sz w:val="18"/>
          <w:szCs w:val="22"/>
        </w:rPr>
        <w:t xml:space="preserve"> *los precios de 2019 corresponde al promedio de los meses de enero a mayo.</w:t>
      </w:r>
    </w:p>
    <w:p w14:paraId="449CF945" w14:textId="77777777" w:rsidR="00767861" w:rsidRDefault="00767861" w:rsidP="00767861">
      <w:pPr>
        <w:spacing w:after="0" w:line="240" w:lineRule="auto"/>
        <w:jc w:val="both"/>
        <w:rPr>
          <w:rFonts w:ascii="Work Sans" w:hAnsi="Work Sans" w:cs="Arial"/>
          <w:highlight w:val="yellow"/>
        </w:rPr>
      </w:pPr>
    </w:p>
    <w:p w14:paraId="55139EF0" w14:textId="77777777" w:rsidR="00767861" w:rsidRDefault="00767861" w:rsidP="00767861">
      <w:pPr>
        <w:spacing w:after="0" w:line="240" w:lineRule="auto"/>
        <w:jc w:val="both"/>
        <w:rPr>
          <w:rFonts w:ascii="Work Sans" w:hAnsi="Work Sans" w:cs="Arial"/>
        </w:rPr>
      </w:pPr>
      <w:r>
        <w:rPr>
          <w:rFonts w:ascii="Work Sans" w:hAnsi="Work Sans" w:cs="Arial"/>
        </w:rPr>
        <w:t>De otra parte, de acuerdo con la información de la encuesta SISBEN III, a junio del presente año, en el departamento de Amazonas se encuentran habilitados para recibir subsidio de cilindros de GLP, un total de 8.008 hogares, de los cuales 4.292 hogares son estrato 1 y los restantes 3.716 son estrato 2, adicionalmente serán beneficiarios todos aquellos usuarios de comunidades indígenas que se encuentren debidamente registrados en el Censo indígena del Ministerio del Interior, ubicados en el departamento.</w:t>
      </w:r>
    </w:p>
    <w:p w14:paraId="0958EFAB" w14:textId="77777777" w:rsidR="00A93575" w:rsidRPr="0071436F" w:rsidRDefault="00A93575" w:rsidP="00A93575">
      <w:pPr>
        <w:spacing w:after="0" w:line="240" w:lineRule="auto"/>
        <w:jc w:val="both"/>
        <w:rPr>
          <w:rFonts w:ascii="Work Sans" w:eastAsia="Times New Roman" w:hAnsi="Work Sans" w:cs="Arial"/>
          <w:lang w:eastAsia="es-ES"/>
        </w:rPr>
      </w:pPr>
    </w:p>
    <w:p w14:paraId="29890A32" w14:textId="6314F13C" w:rsidR="00A93575" w:rsidRPr="0071436F" w:rsidRDefault="00A93575" w:rsidP="00A93575">
      <w:pPr>
        <w:pStyle w:val="Textoindependiente"/>
        <w:rPr>
          <w:rFonts w:ascii="Work Sans" w:hAnsi="Work Sans" w:cs="Arial"/>
          <w:sz w:val="22"/>
          <w:szCs w:val="22"/>
        </w:rPr>
      </w:pPr>
      <w:r w:rsidRPr="0071436F">
        <w:rPr>
          <w:rFonts w:ascii="Work Sans" w:hAnsi="Work Sans" w:cs="Arial"/>
          <w:sz w:val="22"/>
          <w:szCs w:val="22"/>
        </w:rPr>
        <w:lastRenderedPageBreak/>
        <w:t>De acuerdo con lo indicado en el artículo 148 del Decreto 2647 del 28 de diciembre 2018 mediante el cual se liquida el Presupuesto General de la Nación y con el objetivo de ampliar la cobertura del Plan Piloto de Subsidios al GLP en cilindros, al Departamento del Amazonas para el beneficio de comunidades indígenas y los usuarios de los estratos 1 y 2</w:t>
      </w:r>
      <w:r w:rsidRPr="0071436F">
        <w:rPr>
          <w:rFonts w:ascii="Work Sans" w:hAnsi="Work Sans" w:cs="Arial"/>
          <w:sz w:val="22"/>
          <w:szCs w:val="22"/>
          <w:lang w:eastAsia="es-CO"/>
        </w:rPr>
        <w:t xml:space="preserve"> se prevé la necesidad de contar con recursos adicionales para el departamento del Amazonas por un valor aproximado de $2.000.000.000</w:t>
      </w:r>
      <w:r w:rsidRPr="0071436F">
        <w:rPr>
          <w:rFonts w:ascii="Work Sans" w:hAnsi="Work Sans" w:cs="Arial"/>
          <w:sz w:val="22"/>
          <w:szCs w:val="22"/>
        </w:rPr>
        <w:t xml:space="preserve"> millones que beneficiarán aproximadamente a </w:t>
      </w:r>
      <w:r w:rsidR="00767861">
        <w:rPr>
          <w:rFonts w:ascii="Work Sans" w:hAnsi="Work Sans" w:cs="Arial"/>
          <w:sz w:val="22"/>
          <w:szCs w:val="22"/>
        </w:rPr>
        <w:t>8.008</w:t>
      </w:r>
      <w:r w:rsidRPr="0071436F">
        <w:rPr>
          <w:rFonts w:ascii="Work Sans" w:hAnsi="Work Sans" w:cs="Arial"/>
          <w:sz w:val="22"/>
          <w:szCs w:val="22"/>
        </w:rPr>
        <w:t xml:space="preserve"> hogares.</w:t>
      </w:r>
    </w:p>
    <w:p w14:paraId="6DB280F5" w14:textId="77777777" w:rsidR="00A93575" w:rsidRPr="0071436F" w:rsidRDefault="00A93575" w:rsidP="00CD4B47">
      <w:pPr>
        <w:pStyle w:val="Textoindependiente"/>
        <w:rPr>
          <w:rFonts w:ascii="Work Sans" w:hAnsi="Work Sans" w:cs="Arial"/>
          <w:sz w:val="22"/>
          <w:szCs w:val="22"/>
        </w:rPr>
      </w:pPr>
    </w:p>
    <w:p w14:paraId="52C2C530" w14:textId="414B1F3F" w:rsidR="0038374B" w:rsidRPr="0071436F" w:rsidRDefault="00FC080B" w:rsidP="0038374B">
      <w:pPr>
        <w:pStyle w:val="Prrafodelista"/>
        <w:ind w:left="0"/>
        <w:jc w:val="both"/>
        <w:rPr>
          <w:rFonts w:ascii="Work Sans" w:hAnsi="Work Sans" w:cs="Arial"/>
        </w:rPr>
      </w:pPr>
      <w:r w:rsidRPr="0071436F">
        <w:rPr>
          <w:rFonts w:ascii="Work Sans" w:hAnsi="Work Sans" w:cs="Arial"/>
        </w:rPr>
        <w:t>De acuerdo con lo anterior</w:t>
      </w:r>
      <w:r w:rsidR="0038374B" w:rsidRPr="0071436F">
        <w:rPr>
          <w:rFonts w:ascii="Work Sans" w:hAnsi="Work Sans" w:cs="Arial"/>
        </w:rPr>
        <w:t>, en la siguiente tabla se indica la proyección de recursos a ejecutar para la vigencia 2019 que corresponde a $50.000.000.000 teniendo en cuenta el certificado de disponibilidad presupuestal mencionado.</w:t>
      </w:r>
    </w:p>
    <w:p w14:paraId="3A2B8429" w14:textId="3AC57007" w:rsidR="00497DF0" w:rsidRPr="0071436F" w:rsidRDefault="00401289" w:rsidP="00CD4B47">
      <w:pPr>
        <w:pStyle w:val="Textoindependiente"/>
        <w:rPr>
          <w:rFonts w:ascii="Work Sans" w:hAnsi="Work Sans" w:cs="Arial"/>
          <w:sz w:val="22"/>
          <w:szCs w:val="22"/>
        </w:rPr>
      </w:pPr>
      <w:r w:rsidRPr="0071436F">
        <w:rPr>
          <w:rFonts w:ascii="Work Sans" w:hAnsi="Work Sans"/>
          <w:noProof/>
          <w:lang w:val="es-CO" w:eastAsia="es-CO"/>
        </w:rPr>
        <w:drawing>
          <wp:inline distT="0" distB="0" distL="0" distR="0" wp14:anchorId="20E00C97" wp14:editId="602B8FD4">
            <wp:extent cx="5971540" cy="161971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1619718"/>
                    </a:xfrm>
                    <a:prstGeom prst="rect">
                      <a:avLst/>
                    </a:prstGeom>
                    <a:noFill/>
                    <a:ln>
                      <a:noFill/>
                    </a:ln>
                  </pic:spPr>
                </pic:pic>
              </a:graphicData>
            </a:graphic>
          </wp:inline>
        </w:drawing>
      </w:r>
    </w:p>
    <w:p w14:paraId="49C89A5E" w14:textId="77777777" w:rsidR="00401289" w:rsidRPr="0071436F" w:rsidRDefault="00401289" w:rsidP="00401289">
      <w:pPr>
        <w:pStyle w:val="Lista"/>
        <w:spacing w:after="0" w:line="240" w:lineRule="auto"/>
        <w:ind w:left="0" w:firstLine="0"/>
        <w:jc w:val="both"/>
        <w:rPr>
          <w:rFonts w:ascii="Work Sans" w:hAnsi="Work Sans"/>
          <w:sz w:val="12"/>
          <w:szCs w:val="12"/>
          <w:highlight w:val="yellow"/>
        </w:rPr>
      </w:pPr>
    </w:p>
    <w:p w14:paraId="2FD6D5A0" w14:textId="77777777" w:rsidR="00401289" w:rsidRPr="0071436F" w:rsidRDefault="00401289" w:rsidP="00401289">
      <w:pPr>
        <w:pStyle w:val="Lista"/>
        <w:spacing w:after="0" w:line="240" w:lineRule="auto"/>
        <w:jc w:val="both"/>
        <w:rPr>
          <w:rFonts w:ascii="Work Sans" w:hAnsi="Work Sans"/>
          <w:sz w:val="12"/>
          <w:szCs w:val="12"/>
        </w:rPr>
      </w:pPr>
      <w:r w:rsidRPr="0071436F">
        <w:rPr>
          <w:rFonts w:ascii="Work Sans" w:hAnsi="Work Sans"/>
          <w:sz w:val="12"/>
          <w:szCs w:val="12"/>
        </w:rPr>
        <w:t xml:space="preserve">* Proyección basada en el promedio anual de los años 2016,2017 y 2018 </w:t>
      </w:r>
    </w:p>
    <w:p w14:paraId="5FCE2DEB" w14:textId="77777777" w:rsidR="00401289" w:rsidRPr="0071436F" w:rsidRDefault="00401289" w:rsidP="00401289">
      <w:pPr>
        <w:pStyle w:val="Lista"/>
        <w:spacing w:after="0" w:line="240" w:lineRule="auto"/>
        <w:jc w:val="both"/>
        <w:rPr>
          <w:rFonts w:ascii="Work Sans" w:hAnsi="Work Sans" w:cs="Arial"/>
          <w:sz w:val="12"/>
          <w:szCs w:val="12"/>
          <w:lang w:eastAsia="es-CO"/>
        </w:rPr>
      </w:pPr>
      <w:r w:rsidRPr="0071436F">
        <w:rPr>
          <w:rFonts w:ascii="Work Sans" w:hAnsi="Work Sans"/>
          <w:sz w:val="12"/>
          <w:szCs w:val="12"/>
        </w:rPr>
        <w:t>** Proyección basada en el promedio mensual de la cobertura efectiva esperada para el Departamento del Amazonas</w:t>
      </w:r>
    </w:p>
    <w:p w14:paraId="2D46FC9D" w14:textId="224DD8AB" w:rsidR="00401289" w:rsidRPr="0071436F" w:rsidRDefault="00401289" w:rsidP="00401289">
      <w:pPr>
        <w:pStyle w:val="Lista"/>
        <w:spacing w:after="0" w:line="240" w:lineRule="auto"/>
        <w:jc w:val="both"/>
        <w:rPr>
          <w:rFonts w:ascii="Work Sans" w:hAnsi="Work Sans" w:cs="Arial"/>
          <w:sz w:val="12"/>
          <w:szCs w:val="12"/>
        </w:rPr>
      </w:pPr>
      <w:r w:rsidRPr="0071436F">
        <w:rPr>
          <w:rFonts w:ascii="Work Sans" w:hAnsi="Work Sans" w:cs="Arial"/>
          <w:sz w:val="12"/>
          <w:szCs w:val="12"/>
          <w:highlight w:val="yellow"/>
          <w:lang w:eastAsia="es-CO"/>
        </w:rPr>
        <w:t xml:space="preserve">   </w:t>
      </w:r>
    </w:p>
    <w:p w14:paraId="227E59F8" w14:textId="76BDAB7F" w:rsidR="00CD4B47" w:rsidRPr="0071436F" w:rsidRDefault="00CD4B47" w:rsidP="0071436F">
      <w:pPr>
        <w:pStyle w:val="Prrafodelista"/>
        <w:ind w:left="0"/>
        <w:jc w:val="both"/>
        <w:rPr>
          <w:rFonts w:ascii="Work Sans" w:hAnsi="Work Sans" w:cs="Arial"/>
        </w:rPr>
      </w:pPr>
      <w:r w:rsidRPr="0071436F">
        <w:rPr>
          <w:rFonts w:ascii="Work Sans" w:hAnsi="Work Sans" w:cs="Arial"/>
        </w:rPr>
        <w:t>Es decir, que el impacto económico que se genera con la expedición de esta resolución está cubierto po</w:t>
      </w:r>
      <w:r w:rsidR="00F25413" w:rsidRPr="0071436F">
        <w:rPr>
          <w:rFonts w:ascii="Work Sans" w:hAnsi="Work Sans" w:cs="Arial"/>
        </w:rPr>
        <w:t>r parte de esta Entidad, con el</w:t>
      </w:r>
      <w:r w:rsidRPr="0071436F">
        <w:rPr>
          <w:rFonts w:ascii="Work Sans" w:hAnsi="Work Sans" w:cs="Arial"/>
        </w:rPr>
        <w:t xml:space="preserve"> Certificado de Dispon</w:t>
      </w:r>
      <w:r w:rsidR="0038374B" w:rsidRPr="0071436F">
        <w:rPr>
          <w:rFonts w:ascii="Work Sans" w:hAnsi="Work Sans" w:cs="Arial"/>
        </w:rPr>
        <w:t>ibilidad Presupuestal</w:t>
      </w:r>
      <w:r w:rsidR="0030762C">
        <w:rPr>
          <w:rFonts w:ascii="Work Sans" w:hAnsi="Work Sans" w:cs="Arial"/>
        </w:rPr>
        <w:t>.</w:t>
      </w:r>
    </w:p>
    <w:p w14:paraId="22807541" w14:textId="77777777" w:rsidR="001112CA" w:rsidRPr="0071436F" w:rsidRDefault="001112CA" w:rsidP="001112CA">
      <w:pPr>
        <w:numPr>
          <w:ilvl w:val="0"/>
          <w:numId w:val="7"/>
        </w:numPr>
        <w:spacing w:after="0" w:line="240" w:lineRule="auto"/>
        <w:rPr>
          <w:rFonts w:ascii="Work Sans" w:eastAsia="Times New Roman" w:hAnsi="Work Sans" w:cs="Arial"/>
          <w:b/>
          <w:lang w:eastAsia="es-ES"/>
        </w:rPr>
      </w:pPr>
      <w:r w:rsidRPr="0071436F">
        <w:rPr>
          <w:rFonts w:ascii="Work Sans" w:eastAsia="Times New Roman" w:hAnsi="Work Sans" w:cs="Arial"/>
          <w:b/>
          <w:lang w:eastAsia="es-ES"/>
        </w:rPr>
        <w:t>DISPONIBILIDAD PRESUPUESTAL</w:t>
      </w:r>
    </w:p>
    <w:p w14:paraId="351F1216" w14:textId="77777777" w:rsidR="001112CA" w:rsidRPr="0071436F" w:rsidRDefault="001112CA" w:rsidP="001112CA">
      <w:pPr>
        <w:spacing w:after="0" w:line="240" w:lineRule="auto"/>
        <w:rPr>
          <w:rFonts w:ascii="Work Sans" w:eastAsia="Times New Roman" w:hAnsi="Work Sans" w:cs="Arial"/>
          <w:lang w:eastAsia="es-ES"/>
        </w:rPr>
      </w:pPr>
    </w:p>
    <w:p w14:paraId="3C032022" w14:textId="6CEC9E7C" w:rsidR="00401289" w:rsidRPr="0071436F" w:rsidRDefault="00401289" w:rsidP="00401289">
      <w:pPr>
        <w:pStyle w:val="Textoindependiente"/>
        <w:rPr>
          <w:rFonts w:ascii="Work Sans" w:hAnsi="Work Sans" w:cs="Arial"/>
          <w:sz w:val="22"/>
          <w:szCs w:val="22"/>
        </w:rPr>
      </w:pPr>
      <w:r w:rsidRPr="00E826B6">
        <w:rPr>
          <w:rFonts w:ascii="Work Sans" w:hAnsi="Work Sans" w:cs="Arial"/>
          <w:sz w:val="22"/>
          <w:szCs w:val="22"/>
          <w:lang w:val="es-CO"/>
        </w:rPr>
        <w:t>Se expidió por parte del Grupo Financiero del Ministerio</w:t>
      </w:r>
      <w:r w:rsidR="00E826B6">
        <w:rPr>
          <w:rFonts w:ascii="Work Sans" w:hAnsi="Work Sans" w:cs="Arial"/>
          <w:sz w:val="22"/>
          <w:szCs w:val="22"/>
          <w:lang w:val="es-CO"/>
        </w:rPr>
        <w:t xml:space="preserve"> de Minas y Energía,</w:t>
      </w:r>
      <w:r w:rsidRPr="00E826B6">
        <w:rPr>
          <w:rFonts w:ascii="Work Sans" w:hAnsi="Work Sans" w:cs="Arial"/>
          <w:sz w:val="22"/>
          <w:szCs w:val="22"/>
          <w:lang w:val="es-CO"/>
        </w:rPr>
        <w:t xml:space="preserve"> </w:t>
      </w:r>
      <w:r w:rsidR="00E826B6">
        <w:rPr>
          <w:rFonts w:ascii="Work Sans" w:hAnsi="Work Sans" w:cs="Arial"/>
          <w:sz w:val="22"/>
          <w:szCs w:val="22"/>
          <w:lang w:val="es-CO"/>
        </w:rPr>
        <w:t>el</w:t>
      </w:r>
      <w:r w:rsidR="00E826B6">
        <w:rPr>
          <w:rFonts w:ascii="Work Sans" w:hAnsi="Work Sans" w:cs="Arial"/>
          <w:sz w:val="22"/>
          <w:szCs w:val="22"/>
        </w:rPr>
        <w:t xml:space="preserve"> Certificado</w:t>
      </w:r>
      <w:r w:rsidRPr="0071436F">
        <w:rPr>
          <w:rFonts w:ascii="Work Sans" w:hAnsi="Work Sans" w:cs="Arial"/>
          <w:sz w:val="22"/>
          <w:szCs w:val="22"/>
        </w:rPr>
        <w:t xml:space="preserve"> de Disponibilidad Presupuestal No. 26919</w:t>
      </w:r>
      <w:r w:rsidR="00767861">
        <w:rPr>
          <w:rFonts w:ascii="Work Sans" w:hAnsi="Work Sans" w:cs="Arial"/>
          <w:sz w:val="22"/>
          <w:szCs w:val="22"/>
        </w:rPr>
        <w:t xml:space="preserve"> del 14 de febrero de 2019</w:t>
      </w:r>
      <w:r w:rsidRPr="0071436F">
        <w:rPr>
          <w:rFonts w:ascii="Work Sans" w:hAnsi="Work Sans" w:cs="Arial"/>
          <w:sz w:val="22"/>
          <w:szCs w:val="22"/>
        </w:rPr>
        <w:t xml:space="preserve"> por valor de $50.000.000.000 el cual de acuerdo a la proyección realizada cubre los nuevos usuarios </w:t>
      </w:r>
      <w:r w:rsidR="00A93575" w:rsidRPr="0071436F">
        <w:rPr>
          <w:rFonts w:ascii="Work Sans" w:hAnsi="Work Sans" w:cs="Arial"/>
          <w:sz w:val="22"/>
          <w:szCs w:val="22"/>
        </w:rPr>
        <w:t xml:space="preserve">ubicados en el departamento de Amazonas </w:t>
      </w:r>
      <w:r w:rsidRPr="0071436F">
        <w:rPr>
          <w:rFonts w:ascii="Work Sans" w:hAnsi="Work Sans" w:cs="Arial"/>
          <w:sz w:val="22"/>
          <w:szCs w:val="22"/>
        </w:rPr>
        <w:t xml:space="preserve">en el programa de subsidios de GLP en cilindros </w:t>
      </w:r>
    </w:p>
    <w:p w14:paraId="7E3F81FB" w14:textId="77777777" w:rsidR="00401289" w:rsidRPr="0071436F" w:rsidRDefault="00401289" w:rsidP="001112CA">
      <w:pPr>
        <w:tabs>
          <w:tab w:val="left" w:pos="284"/>
        </w:tabs>
        <w:spacing w:after="0" w:line="240" w:lineRule="auto"/>
        <w:jc w:val="both"/>
        <w:rPr>
          <w:rFonts w:ascii="Work Sans" w:eastAsia="Times New Roman" w:hAnsi="Work Sans" w:cs="Arial"/>
          <w:highlight w:val="green"/>
          <w:lang w:eastAsia="es-ES"/>
        </w:rPr>
      </w:pPr>
    </w:p>
    <w:p w14:paraId="2A28B4A2" w14:textId="77777777" w:rsidR="001112CA" w:rsidRPr="0071436F" w:rsidRDefault="001112CA" w:rsidP="001112CA">
      <w:pPr>
        <w:numPr>
          <w:ilvl w:val="0"/>
          <w:numId w:val="7"/>
        </w:numPr>
        <w:spacing w:after="0" w:line="240" w:lineRule="auto"/>
        <w:rPr>
          <w:rFonts w:ascii="Work Sans" w:eastAsia="Times New Roman" w:hAnsi="Work Sans" w:cs="Arial"/>
          <w:b/>
          <w:lang w:eastAsia="es-ES"/>
        </w:rPr>
      </w:pPr>
      <w:r w:rsidRPr="0071436F">
        <w:rPr>
          <w:rFonts w:ascii="Work Sans" w:eastAsia="Times New Roman" w:hAnsi="Work Sans" w:cs="Arial"/>
          <w:b/>
          <w:lang w:eastAsia="es-ES"/>
        </w:rPr>
        <w:t>IMPACTO MEDIO AMBIENTAL O SOBRE EL PATRIMONIO CULTURAL</w:t>
      </w:r>
    </w:p>
    <w:p w14:paraId="76A66F09" w14:textId="77777777" w:rsidR="001112CA" w:rsidRPr="0071436F" w:rsidRDefault="001112CA" w:rsidP="001112CA">
      <w:pPr>
        <w:spacing w:after="0" w:line="240" w:lineRule="auto"/>
        <w:rPr>
          <w:rFonts w:ascii="Work Sans" w:eastAsia="Times New Roman" w:hAnsi="Work Sans" w:cs="Arial"/>
          <w:b/>
          <w:lang w:eastAsia="es-ES"/>
        </w:rPr>
      </w:pPr>
    </w:p>
    <w:p w14:paraId="7294E91A" w14:textId="64DB74AB" w:rsidR="00A93575" w:rsidRPr="0071436F" w:rsidRDefault="00A93575" w:rsidP="00A93575">
      <w:pPr>
        <w:spacing w:after="0" w:line="240" w:lineRule="auto"/>
        <w:jc w:val="both"/>
        <w:rPr>
          <w:rFonts w:ascii="Work Sans" w:eastAsia="Times New Roman" w:hAnsi="Work Sans" w:cs="Arial"/>
          <w:lang w:eastAsia="es-ES"/>
        </w:rPr>
      </w:pPr>
      <w:r w:rsidRPr="0071436F">
        <w:rPr>
          <w:rFonts w:ascii="Work Sans" w:eastAsia="Times New Roman" w:hAnsi="Work Sans" w:cs="Arial"/>
          <w:lang w:eastAsia="es-ES"/>
        </w:rPr>
        <w:t xml:space="preserve">El proyecto de Resolución busca desincentivar la presión del recurso maderero con fines energéticos (por leña u obtención de leña para fines de cocción de alimentos). Dado lo anterior, es válido afirmar que el proyecto de Resolución busca generar un efecto ambiental positivo, teniendo en cuenta que se tiene como finalidad que las familias de menores recursos, que tradicionalmente cocinan con biomasa, hagan una </w:t>
      </w:r>
      <w:r w:rsidRPr="0071436F">
        <w:rPr>
          <w:rFonts w:ascii="Work Sans" w:eastAsia="Times New Roman" w:hAnsi="Work Sans" w:cs="Arial"/>
          <w:lang w:eastAsia="es-ES"/>
        </w:rPr>
        <w:lastRenderedPageBreak/>
        <w:t xml:space="preserve">transformación en sus métodos de cocción, migrando al uso de combustibles mucho más amigables con el ambiente, como lo es el GLP. </w:t>
      </w:r>
    </w:p>
    <w:p w14:paraId="0434BF87" w14:textId="77777777" w:rsidR="001112CA" w:rsidRPr="0071436F" w:rsidRDefault="001112CA" w:rsidP="00A93575">
      <w:pPr>
        <w:spacing w:after="0" w:line="240" w:lineRule="auto"/>
        <w:jc w:val="both"/>
        <w:rPr>
          <w:rFonts w:ascii="Work Sans" w:eastAsia="Times New Roman" w:hAnsi="Work Sans" w:cs="Arial"/>
          <w:i/>
          <w:lang w:eastAsia="es-ES"/>
        </w:rPr>
      </w:pPr>
    </w:p>
    <w:p w14:paraId="76A449F3" w14:textId="77777777" w:rsidR="001112CA" w:rsidRPr="0071436F" w:rsidRDefault="001112CA" w:rsidP="001112CA">
      <w:pPr>
        <w:spacing w:after="0" w:line="240" w:lineRule="auto"/>
        <w:jc w:val="both"/>
        <w:rPr>
          <w:rFonts w:ascii="Work Sans" w:eastAsia="Times New Roman" w:hAnsi="Work Sans" w:cs="Arial"/>
          <w:lang w:eastAsia="es-ES"/>
        </w:rPr>
      </w:pPr>
      <w:r w:rsidRPr="0071436F">
        <w:rPr>
          <w:rFonts w:ascii="Work Sans" w:eastAsia="Times New Roman" w:hAnsi="Work Sans" w:cs="Arial"/>
          <w:lang w:eastAsia="es-ES"/>
        </w:rPr>
        <w:t>De otra parte, en razón a la finalidad del acto administrativo, no se genera impacto sobre el patrimonio cultural.</w:t>
      </w:r>
    </w:p>
    <w:p w14:paraId="17B5DA0E" w14:textId="77777777" w:rsidR="001112CA" w:rsidRDefault="001112CA" w:rsidP="001112CA">
      <w:pPr>
        <w:spacing w:after="0" w:line="240" w:lineRule="auto"/>
        <w:ind w:left="360"/>
        <w:rPr>
          <w:rFonts w:ascii="Work Sans" w:hAnsi="Work Sans" w:cs="Arial"/>
          <w:b/>
        </w:rPr>
      </w:pPr>
    </w:p>
    <w:p w14:paraId="367AF86B" w14:textId="77777777" w:rsidR="001112CA" w:rsidRPr="0071436F" w:rsidRDefault="001112CA" w:rsidP="001112CA">
      <w:pPr>
        <w:numPr>
          <w:ilvl w:val="0"/>
          <w:numId w:val="7"/>
        </w:numPr>
        <w:spacing w:after="0" w:line="240" w:lineRule="auto"/>
        <w:rPr>
          <w:rFonts w:ascii="Work Sans" w:eastAsia="Times New Roman" w:hAnsi="Work Sans" w:cs="Arial"/>
          <w:b/>
          <w:lang w:eastAsia="es-ES"/>
        </w:rPr>
      </w:pPr>
      <w:r w:rsidRPr="0071436F">
        <w:rPr>
          <w:rFonts w:ascii="Work Sans" w:eastAsia="Times New Roman" w:hAnsi="Work Sans" w:cs="Arial"/>
          <w:b/>
          <w:lang w:eastAsia="es-ES"/>
        </w:rPr>
        <w:t>CONSULTA</w:t>
      </w:r>
    </w:p>
    <w:p w14:paraId="2698F697" w14:textId="77777777" w:rsidR="001112CA" w:rsidRPr="0071436F" w:rsidRDefault="001112CA" w:rsidP="001112CA">
      <w:pPr>
        <w:spacing w:after="0" w:line="240" w:lineRule="auto"/>
        <w:rPr>
          <w:rFonts w:ascii="Work Sans" w:eastAsia="Times New Roman" w:hAnsi="Work Sans" w:cs="Arial"/>
          <w:b/>
          <w:lang w:eastAsia="es-ES"/>
        </w:rPr>
      </w:pPr>
    </w:p>
    <w:p w14:paraId="5538D0E7" w14:textId="32B3A76D" w:rsidR="001112CA" w:rsidRPr="00E826B6" w:rsidRDefault="001112CA" w:rsidP="001112CA">
      <w:pPr>
        <w:spacing w:after="0" w:line="240" w:lineRule="auto"/>
        <w:jc w:val="both"/>
        <w:rPr>
          <w:rFonts w:ascii="Work Sans" w:hAnsi="Work Sans" w:cs="Arial"/>
          <w:color w:val="000000"/>
        </w:rPr>
      </w:pPr>
      <w:r w:rsidRPr="00E826B6">
        <w:rPr>
          <w:rFonts w:ascii="Work Sans" w:hAnsi="Work Sans" w:cs="Arial"/>
          <w:color w:val="000000"/>
        </w:rPr>
        <w:t>En consideración al artículo 2.1.2.1.13 del Decreto 1609 de 2015, se realizó verificación respecto de la existencia de orden Constitucional o legal que implique el deber de realizar trámite de consulta respecto del proyecto de Resolución que busca ampliar los Departamentos incluidos en el Plan Piloto de Subsidios de GL</w:t>
      </w:r>
      <w:r w:rsidR="00E826B6" w:rsidRPr="00E826B6">
        <w:rPr>
          <w:rFonts w:ascii="Work Sans" w:hAnsi="Work Sans" w:cs="Arial"/>
          <w:color w:val="000000"/>
        </w:rPr>
        <w:t>P en cilindros y no procede.</w:t>
      </w:r>
      <w:r w:rsidRPr="00E826B6">
        <w:rPr>
          <w:rFonts w:ascii="Work Sans" w:hAnsi="Work Sans" w:cs="Arial"/>
          <w:color w:val="000000"/>
        </w:rPr>
        <w:t xml:space="preserve"> </w:t>
      </w:r>
    </w:p>
    <w:p w14:paraId="7FB303C8" w14:textId="77777777" w:rsidR="001112CA" w:rsidRPr="0071436F" w:rsidRDefault="001112CA" w:rsidP="001112CA">
      <w:pPr>
        <w:spacing w:after="0" w:line="240" w:lineRule="auto"/>
        <w:jc w:val="both"/>
        <w:rPr>
          <w:rFonts w:ascii="Work Sans" w:eastAsia="Times New Roman" w:hAnsi="Work Sans" w:cs="Arial"/>
          <w:highlight w:val="yellow"/>
          <w:lang w:eastAsia="es-ES"/>
        </w:rPr>
      </w:pPr>
      <w:r w:rsidRPr="0071436F">
        <w:rPr>
          <w:rFonts w:ascii="Work Sans" w:eastAsia="Times New Roman" w:hAnsi="Work Sans" w:cs="Arial"/>
          <w:highlight w:val="yellow"/>
          <w:lang w:eastAsia="es-ES"/>
        </w:rPr>
        <w:t xml:space="preserve"> </w:t>
      </w:r>
    </w:p>
    <w:p w14:paraId="11A51601" w14:textId="77777777" w:rsidR="001112CA" w:rsidRPr="0071436F" w:rsidRDefault="001112CA" w:rsidP="001112CA">
      <w:pPr>
        <w:numPr>
          <w:ilvl w:val="0"/>
          <w:numId w:val="7"/>
        </w:numPr>
        <w:spacing w:after="0" w:line="240" w:lineRule="auto"/>
        <w:jc w:val="both"/>
        <w:rPr>
          <w:rFonts w:ascii="Work Sans" w:hAnsi="Work Sans" w:cs="Arial"/>
          <w:b/>
        </w:rPr>
      </w:pPr>
      <w:r w:rsidRPr="0071436F">
        <w:rPr>
          <w:rFonts w:ascii="Work Sans" w:hAnsi="Work Sans" w:cs="Arial"/>
          <w:b/>
        </w:rPr>
        <w:t>PUBLICIDAD</w:t>
      </w:r>
    </w:p>
    <w:p w14:paraId="0549F211" w14:textId="77777777" w:rsidR="001112CA" w:rsidRPr="0071436F" w:rsidRDefault="001112CA" w:rsidP="001112CA">
      <w:pPr>
        <w:spacing w:after="0" w:line="240" w:lineRule="auto"/>
        <w:jc w:val="both"/>
        <w:rPr>
          <w:rFonts w:ascii="Work Sans" w:hAnsi="Work Sans" w:cs="Arial"/>
          <w:color w:val="000000"/>
        </w:rPr>
      </w:pPr>
    </w:p>
    <w:p w14:paraId="00D83784" w14:textId="0199B0AC" w:rsidR="001112CA" w:rsidRPr="0071436F" w:rsidRDefault="001112CA" w:rsidP="001112CA">
      <w:pPr>
        <w:spacing w:after="0" w:line="240" w:lineRule="auto"/>
        <w:jc w:val="both"/>
        <w:rPr>
          <w:rFonts w:ascii="Work Sans" w:hAnsi="Work Sans" w:cs="Arial"/>
          <w:color w:val="000000"/>
        </w:rPr>
      </w:pPr>
      <w:r w:rsidRPr="0071436F">
        <w:rPr>
          <w:rFonts w:ascii="Work Sans" w:hAnsi="Work Sans" w:cs="Arial"/>
        </w:rPr>
        <w:t>E</w:t>
      </w:r>
      <w:r w:rsidRPr="0071436F">
        <w:rPr>
          <w:rFonts w:ascii="Work Sans" w:hAnsi="Work Sans" w:cs="Arial"/>
          <w:color w:val="000000"/>
        </w:rPr>
        <w:t>n atención a lo dispuesto en el numeral 8 del artículo 8 de la Ley 1437 de 2011, y en concordancia con lo previsto en el artículo 2.1.2.1.14 del Decreto 270 de 2017</w:t>
      </w:r>
      <w:r w:rsidR="00C67A69">
        <w:rPr>
          <w:rFonts w:ascii="Work Sans" w:hAnsi="Work Sans" w:cs="Arial"/>
          <w:color w:val="000000"/>
        </w:rPr>
        <w:t xml:space="preserve"> y en la</w:t>
      </w:r>
      <w:r w:rsidR="004728C0">
        <w:rPr>
          <w:rFonts w:ascii="Work Sans" w:hAnsi="Work Sans" w:cs="Arial"/>
          <w:color w:val="000000"/>
        </w:rPr>
        <w:t xml:space="preserve"> resolución 4 0310 y 4 1304 de 2017</w:t>
      </w:r>
      <w:r w:rsidRPr="0071436F">
        <w:rPr>
          <w:rFonts w:ascii="Work Sans" w:hAnsi="Work Sans" w:cs="Arial"/>
          <w:color w:val="000000"/>
        </w:rPr>
        <w:t xml:space="preserve">, el texto del presente acto administrativo se publicó en la página web del Ministerio de Minas y Energía para comentarios del público entre </w:t>
      </w:r>
      <w:r w:rsidRPr="0071436F">
        <w:rPr>
          <w:rFonts w:ascii="Work Sans" w:hAnsi="Work Sans" w:cs="Arial"/>
          <w:color w:val="000000"/>
          <w:highlight w:val="yellow"/>
        </w:rPr>
        <w:t xml:space="preserve">el x y el xx de </w:t>
      </w:r>
      <w:r w:rsidR="00851FCD">
        <w:rPr>
          <w:rFonts w:ascii="Work Sans" w:hAnsi="Work Sans" w:cs="Arial"/>
          <w:color w:val="000000"/>
          <w:highlight w:val="yellow"/>
        </w:rPr>
        <w:t>agosto</w:t>
      </w:r>
      <w:r w:rsidR="00851FCD" w:rsidRPr="0071436F">
        <w:rPr>
          <w:rFonts w:ascii="Work Sans" w:hAnsi="Work Sans" w:cs="Arial"/>
          <w:color w:val="000000"/>
          <w:highlight w:val="yellow"/>
        </w:rPr>
        <w:t xml:space="preserve"> </w:t>
      </w:r>
      <w:r w:rsidRPr="0071436F">
        <w:rPr>
          <w:rFonts w:ascii="Work Sans" w:hAnsi="Work Sans" w:cs="Arial"/>
          <w:color w:val="000000"/>
          <w:highlight w:val="yellow"/>
        </w:rPr>
        <w:t>de 201</w:t>
      </w:r>
      <w:r w:rsidR="00C565FC" w:rsidRPr="0071436F">
        <w:rPr>
          <w:rFonts w:ascii="Work Sans" w:hAnsi="Work Sans" w:cs="Arial"/>
          <w:color w:val="000000"/>
          <w:highlight w:val="yellow"/>
        </w:rPr>
        <w:t>9</w:t>
      </w:r>
      <w:r w:rsidR="004728C0">
        <w:rPr>
          <w:rFonts w:ascii="Work Sans" w:hAnsi="Work Sans" w:cs="Arial"/>
          <w:color w:val="000000"/>
        </w:rPr>
        <w:t xml:space="preserve"> y las </w:t>
      </w:r>
      <w:r w:rsidRPr="0071436F">
        <w:rPr>
          <w:rFonts w:ascii="Work Sans" w:hAnsi="Work Sans" w:cs="Arial"/>
          <w:color w:val="000000"/>
        </w:rPr>
        <w:t>observaciones y sugerencias recibidas fueron debidamente analizadas.</w:t>
      </w:r>
    </w:p>
    <w:p w14:paraId="01D6856B" w14:textId="77777777" w:rsidR="001112CA" w:rsidRPr="0071436F" w:rsidRDefault="001112CA" w:rsidP="001112CA">
      <w:pPr>
        <w:spacing w:after="0" w:line="240" w:lineRule="auto"/>
        <w:jc w:val="both"/>
        <w:rPr>
          <w:rFonts w:ascii="Work Sans" w:hAnsi="Work Sans" w:cs="Arial"/>
          <w:color w:val="000000"/>
        </w:rPr>
      </w:pPr>
    </w:p>
    <w:p w14:paraId="1DC911C5" w14:textId="77777777" w:rsidR="001112CA" w:rsidRPr="0071436F" w:rsidRDefault="001112CA" w:rsidP="001112CA">
      <w:pPr>
        <w:spacing w:after="0" w:line="240" w:lineRule="auto"/>
        <w:jc w:val="both"/>
        <w:rPr>
          <w:rFonts w:ascii="Work Sans" w:hAnsi="Work Sans" w:cs="Arial"/>
        </w:rPr>
      </w:pPr>
      <w:r w:rsidRPr="0071436F">
        <w:rPr>
          <w:rFonts w:ascii="Work Sans" w:hAnsi="Work Sans" w:cs="Arial"/>
          <w:color w:val="000000"/>
        </w:rPr>
        <w:t>La constancia de publicación emitida por el Grupo de Participación y Servicio al Ciudadano hace parte de esta memoria justificativa.</w:t>
      </w:r>
    </w:p>
    <w:p w14:paraId="45BB84DF" w14:textId="77777777" w:rsidR="001112CA" w:rsidRPr="0071436F" w:rsidRDefault="001112CA" w:rsidP="001112CA">
      <w:pPr>
        <w:spacing w:after="0" w:line="240" w:lineRule="auto"/>
        <w:jc w:val="both"/>
        <w:rPr>
          <w:rFonts w:ascii="Work Sans" w:hAnsi="Work Sans" w:cs="Arial"/>
          <w:color w:val="000000"/>
        </w:rPr>
      </w:pPr>
    </w:p>
    <w:p w14:paraId="45E54973" w14:textId="4D488D25" w:rsidR="001112CA" w:rsidRPr="000E7D38" w:rsidRDefault="008D0C51" w:rsidP="000E7D38">
      <w:pPr>
        <w:pStyle w:val="Prrafodelista"/>
        <w:numPr>
          <w:ilvl w:val="0"/>
          <w:numId w:val="7"/>
        </w:numPr>
        <w:spacing w:after="0" w:line="240" w:lineRule="auto"/>
        <w:jc w:val="both"/>
        <w:rPr>
          <w:rFonts w:ascii="Work Sans" w:hAnsi="Work Sans" w:cs="Arial"/>
          <w:b/>
        </w:rPr>
      </w:pPr>
      <w:r w:rsidRPr="000E7D38">
        <w:rPr>
          <w:rFonts w:ascii="Work Sans" w:hAnsi="Work Sans" w:cs="Arial"/>
          <w:b/>
        </w:rPr>
        <w:t xml:space="preserve"> ABOGACÍA DE LA COMPETENCIA</w:t>
      </w:r>
    </w:p>
    <w:p w14:paraId="4705DD27" w14:textId="77777777" w:rsidR="008D0C51" w:rsidRDefault="008D0C51" w:rsidP="001112CA">
      <w:pPr>
        <w:spacing w:after="0" w:line="240" w:lineRule="auto"/>
        <w:jc w:val="both"/>
        <w:rPr>
          <w:rFonts w:ascii="Work Sans" w:hAnsi="Work Sans" w:cs="Arial"/>
        </w:rPr>
      </w:pPr>
    </w:p>
    <w:p w14:paraId="68675276" w14:textId="4C5FC4ED" w:rsidR="00851FCD" w:rsidRDefault="008D0C51" w:rsidP="001112CA">
      <w:pPr>
        <w:spacing w:after="0" w:line="240" w:lineRule="auto"/>
        <w:jc w:val="both"/>
        <w:rPr>
          <w:rFonts w:ascii="Work Sans" w:hAnsi="Work Sans"/>
        </w:rPr>
      </w:pPr>
      <w:r w:rsidRPr="0071436F">
        <w:rPr>
          <w:rFonts w:ascii="Work Sans" w:hAnsi="Work Sans"/>
        </w:rPr>
        <w:t>En concordancia con lo dispuesto en el numeral 3 del Artículo 2.2.</w:t>
      </w:r>
      <w:r>
        <w:rPr>
          <w:rFonts w:ascii="Work Sans" w:hAnsi="Work Sans"/>
        </w:rPr>
        <w:t>2.30.6 del Decreto 1074 de 2015</w:t>
      </w:r>
      <w:r w:rsidR="0035395D">
        <w:rPr>
          <w:rFonts w:ascii="Work Sans" w:hAnsi="Work Sans"/>
        </w:rPr>
        <w:t>,</w:t>
      </w:r>
      <w:r>
        <w:rPr>
          <w:rFonts w:ascii="Work Sans" w:hAnsi="Work Sans"/>
        </w:rPr>
        <w:t xml:space="preserve"> el Coordinador del Grupo de Gas de la Dirección de Hidrocarburos diligenció el cuestionario adoptado </w:t>
      </w:r>
      <w:r w:rsidRPr="0071436F">
        <w:rPr>
          <w:rFonts w:ascii="Work Sans" w:hAnsi="Work Sans"/>
        </w:rPr>
        <w:t>por la Superintendencia de Industria y Comercio</w:t>
      </w:r>
      <w:r>
        <w:rPr>
          <w:rFonts w:ascii="Work Sans" w:hAnsi="Work Sans"/>
        </w:rPr>
        <w:t xml:space="preserve">, determinando que el acto administrativo a expedir </w:t>
      </w:r>
      <w:r w:rsidR="0035395D">
        <w:rPr>
          <w:rFonts w:ascii="Work Sans" w:hAnsi="Work Sans"/>
        </w:rPr>
        <w:t>no tiene incidencia sobre la libre competencia en los mercados, en razón a</w:t>
      </w:r>
      <w:r w:rsidR="00851FCD">
        <w:rPr>
          <w:rFonts w:ascii="Work Sans" w:hAnsi="Work Sans"/>
        </w:rPr>
        <w:t xml:space="preserve"> que</w:t>
      </w:r>
      <w:r w:rsidR="0035395D">
        <w:rPr>
          <w:rFonts w:ascii="Work Sans" w:hAnsi="Work Sans"/>
        </w:rPr>
        <w:t xml:space="preserve"> las respuestas </w:t>
      </w:r>
      <w:r w:rsidR="00851FCD">
        <w:rPr>
          <w:rFonts w:ascii="Work Sans" w:hAnsi="Work Sans"/>
        </w:rPr>
        <w:t>correspondientes a las</w:t>
      </w:r>
      <w:r w:rsidR="0035395D">
        <w:rPr>
          <w:rFonts w:ascii="Work Sans" w:hAnsi="Work Sans"/>
        </w:rPr>
        <w:t xml:space="preserve"> preguntas </w:t>
      </w:r>
      <w:r w:rsidR="00851FCD">
        <w:rPr>
          <w:rFonts w:ascii="Work Sans" w:hAnsi="Work Sans"/>
        </w:rPr>
        <w:t>tuvieron resultado</w:t>
      </w:r>
      <w:r w:rsidR="0035395D">
        <w:rPr>
          <w:rFonts w:ascii="Work Sans" w:hAnsi="Work Sans"/>
        </w:rPr>
        <w:t xml:space="preserve"> negativ</w:t>
      </w:r>
      <w:r w:rsidR="00851FCD">
        <w:rPr>
          <w:rFonts w:ascii="Work Sans" w:hAnsi="Work Sans"/>
        </w:rPr>
        <w:t>o</w:t>
      </w:r>
      <w:r w:rsidR="00C67A69">
        <w:rPr>
          <w:rFonts w:ascii="Work Sans" w:hAnsi="Work Sans"/>
        </w:rPr>
        <w:t xml:space="preserve">, de acurdo con el formulario adjunto. </w:t>
      </w:r>
    </w:p>
    <w:p w14:paraId="67AB336A" w14:textId="34A02687" w:rsidR="00C67A69" w:rsidRPr="00C67A69" w:rsidRDefault="00C67A69" w:rsidP="00C67A69">
      <w:pPr>
        <w:spacing w:after="0" w:line="240" w:lineRule="auto"/>
        <w:jc w:val="both"/>
        <w:rPr>
          <w:rFonts w:ascii="Work Sans" w:hAnsi="Work Sans"/>
        </w:rPr>
      </w:pPr>
    </w:p>
    <w:p w14:paraId="720F16C0" w14:textId="77777777" w:rsidR="00851FCD" w:rsidRDefault="00851FCD" w:rsidP="001112CA">
      <w:pPr>
        <w:spacing w:after="0" w:line="240" w:lineRule="auto"/>
        <w:jc w:val="both"/>
        <w:rPr>
          <w:rFonts w:ascii="Work Sans" w:hAnsi="Work Sans"/>
        </w:rPr>
      </w:pPr>
    </w:p>
    <w:p w14:paraId="27537935" w14:textId="0F509FD8" w:rsidR="0035395D" w:rsidRDefault="00851FCD" w:rsidP="001112CA">
      <w:pPr>
        <w:spacing w:after="0" w:line="240" w:lineRule="auto"/>
        <w:jc w:val="both"/>
        <w:rPr>
          <w:rFonts w:ascii="Work Sans" w:hAnsi="Work Sans"/>
        </w:rPr>
      </w:pPr>
      <w:r>
        <w:rPr>
          <w:rFonts w:ascii="Work Sans" w:hAnsi="Work Sans"/>
        </w:rPr>
        <w:t xml:space="preserve">Lo anterior debido a que el </w:t>
      </w:r>
      <w:r w:rsidR="0035395D">
        <w:rPr>
          <w:rFonts w:ascii="Work Sans" w:hAnsi="Work Sans"/>
        </w:rPr>
        <w:t xml:space="preserve">objeto de la </w:t>
      </w:r>
      <w:r>
        <w:rPr>
          <w:rFonts w:ascii="Work Sans" w:hAnsi="Work Sans"/>
        </w:rPr>
        <w:t xml:space="preserve">modificación </w:t>
      </w:r>
      <w:r w:rsidR="0035395D">
        <w:rPr>
          <w:rFonts w:ascii="Work Sans" w:hAnsi="Work Sans"/>
        </w:rPr>
        <w:t>es incluir a los usuarios de los estratos 1 y 2 del departamento del Amazonas en el programa de subsidios para el servicio público de GLP distribuido por cilindros.</w:t>
      </w:r>
    </w:p>
    <w:p w14:paraId="735B9B48" w14:textId="77777777" w:rsidR="008D0C51" w:rsidRDefault="008D0C51" w:rsidP="001112CA">
      <w:pPr>
        <w:spacing w:after="0" w:line="240" w:lineRule="auto"/>
        <w:jc w:val="both"/>
        <w:rPr>
          <w:rFonts w:ascii="Work Sans" w:hAnsi="Work Sans" w:cs="Arial"/>
        </w:rPr>
      </w:pPr>
    </w:p>
    <w:p w14:paraId="083F8843" w14:textId="77777777" w:rsidR="001112CA" w:rsidRPr="0071436F" w:rsidRDefault="001112CA" w:rsidP="001112CA">
      <w:pPr>
        <w:numPr>
          <w:ilvl w:val="0"/>
          <w:numId w:val="7"/>
        </w:numPr>
        <w:spacing w:after="0" w:line="240" w:lineRule="auto"/>
        <w:jc w:val="both"/>
        <w:rPr>
          <w:rFonts w:ascii="Work Sans" w:hAnsi="Work Sans" w:cs="Arial"/>
          <w:b/>
        </w:rPr>
      </w:pPr>
      <w:r w:rsidRPr="0071436F">
        <w:rPr>
          <w:rFonts w:ascii="Work Sans" w:hAnsi="Work Sans" w:cs="Arial"/>
        </w:rPr>
        <w:t xml:space="preserve"> </w:t>
      </w:r>
      <w:r w:rsidRPr="0071436F">
        <w:rPr>
          <w:rFonts w:ascii="Work Sans" w:hAnsi="Work Sans" w:cs="Arial"/>
          <w:b/>
        </w:rPr>
        <w:t>CONCEPTO DEL DEPARTAMENTO ADMINISTRATIVO DE LA FUNCIÓN PÚBLICA</w:t>
      </w:r>
    </w:p>
    <w:p w14:paraId="085B30C2" w14:textId="77777777" w:rsidR="001112CA" w:rsidRPr="0071436F" w:rsidRDefault="001112CA" w:rsidP="001112CA">
      <w:pPr>
        <w:spacing w:after="0" w:line="240" w:lineRule="auto"/>
        <w:jc w:val="both"/>
        <w:rPr>
          <w:rFonts w:ascii="Work Sans" w:hAnsi="Work Sans" w:cs="Arial"/>
        </w:rPr>
      </w:pPr>
    </w:p>
    <w:p w14:paraId="2D6A41B8" w14:textId="77777777" w:rsidR="001112CA" w:rsidRPr="0071436F" w:rsidRDefault="001112CA" w:rsidP="001112CA">
      <w:pPr>
        <w:spacing w:after="0" w:line="240" w:lineRule="auto"/>
        <w:jc w:val="both"/>
        <w:rPr>
          <w:rFonts w:ascii="Work Sans" w:hAnsi="Work Sans" w:cs="Arial"/>
        </w:rPr>
      </w:pPr>
      <w:r w:rsidRPr="0071436F">
        <w:rPr>
          <w:rFonts w:ascii="Work Sans" w:hAnsi="Work Sans" w:cs="Arial"/>
        </w:rPr>
        <w:t>No aplica por cuanto el acto administrativo no establece nuevos trámites como lo dispone el artículo 2.1.2.1.11 del Decreto 1609 de 2015.</w:t>
      </w:r>
    </w:p>
    <w:p w14:paraId="0E48FE4A" w14:textId="77777777" w:rsidR="001112CA" w:rsidRPr="0071436F" w:rsidRDefault="001112CA" w:rsidP="001112CA">
      <w:pPr>
        <w:spacing w:after="0" w:line="240" w:lineRule="auto"/>
        <w:jc w:val="both"/>
        <w:rPr>
          <w:rFonts w:ascii="Work Sans" w:eastAsia="Times New Roman" w:hAnsi="Work Sans" w:cs="Arial"/>
          <w:lang w:eastAsia="es-ES"/>
        </w:rPr>
      </w:pPr>
    </w:p>
    <w:p w14:paraId="21501934" w14:textId="77777777" w:rsidR="001112CA" w:rsidRPr="0071436F" w:rsidRDefault="001112CA" w:rsidP="001112CA">
      <w:pPr>
        <w:numPr>
          <w:ilvl w:val="0"/>
          <w:numId w:val="7"/>
        </w:numPr>
        <w:spacing w:after="0" w:line="240" w:lineRule="auto"/>
        <w:contextualSpacing/>
        <w:jc w:val="both"/>
        <w:rPr>
          <w:rFonts w:ascii="Work Sans" w:eastAsia="Arial" w:hAnsi="Work Sans" w:cs="Arial"/>
          <w:b/>
          <w:color w:val="000000"/>
        </w:rPr>
      </w:pPr>
      <w:r w:rsidRPr="0071436F">
        <w:rPr>
          <w:rFonts w:ascii="Work Sans" w:eastAsia="Arial" w:hAnsi="Work Sans" w:cs="Arial"/>
          <w:b/>
          <w:color w:val="000000"/>
        </w:rPr>
        <w:lastRenderedPageBreak/>
        <w:t>MATRIZ RESUMEN OBSERVACIONES Y COMENTARIOS</w:t>
      </w:r>
    </w:p>
    <w:p w14:paraId="18E39BD6" w14:textId="77777777" w:rsidR="001112CA" w:rsidRPr="0071436F" w:rsidRDefault="001112CA" w:rsidP="001112CA">
      <w:pPr>
        <w:spacing w:after="0"/>
        <w:jc w:val="both"/>
        <w:rPr>
          <w:rFonts w:ascii="Work Sans" w:hAnsi="Work Sans" w:cs="Arial"/>
          <w:color w:val="000000"/>
        </w:rPr>
      </w:pPr>
    </w:p>
    <w:p w14:paraId="1D170E65" w14:textId="652496A0" w:rsidR="0030762C" w:rsidRPr="000E7D38" w:rsidRDefault="0030762C" w:rsidP="001112CA">
      <w:pPr>
        <w:spacing w:after="0"/>
        <w:jc w:val="both"/>
        <w:rPr>
          <w:rFonts w:ascii="Work Sans" w:hAnsi="Work Sans" w:cs="Arial"/>
          <w:color w:val="000000"/>
        </w:rPr>
      </w:pPr>
      <w:r w:rsidRPr="000E7D38">
        <w:rPr>
          <w:rFonts w:ascii="Work Sans" w:hAnsi="Work Sans" w:cs="Arial"/>
          <w:color w:val="000000"/>
        </w:rPr>
        <w:t>La matriz que contiene el resumen de las observaciones y comentarios hace parte de la presente memoria justificativa.</w:t>
      </w:r>
    </w:p>
    <w:p w14:paraId="56E4A83D" w14:textId="77777777" w:rsidR="0030762C" w:rsidRPr="0071436F" w:rsidRDefault="0030762C" w:rsidP="001112CA">
      <w:pPr>
        <w:spacing w:after="0"/>
        <w:jc w:val="both"/>
        <w:rPr>
          <w:rFonts w:ascii="Work Sans" w:hAnsi="Work Sans" w:cs="Arial"/>
          <w:color w:val="000000"/>
        </w:rPr>
      </w:pPr>
    </w:p>
    <w:p w14:paraId="70E9F37F" w14:textId="77777777" w:rsidR="001112CA" w:rsidRPr="0071436F" w:rsidRDefault="001112CA" w:rsidP="001112CA">
      <w:pPr>
        <w:numPr>
          <w:ilvl w:val="0"/>
          <w:numId w:val="7"/>
        </w:numPr>
        <w:spacing w:after="0"/>
        <w:jc w:val="both"/>
        <w:rPr>
          <w:rFonts w:ascii="Work Sans" w:hAnsi="Work Sans" w:cs="Arial"/>
          <w:b/>
          <w:color w:val="000000"/>
        </w:rPr>
      </w:pPr>
      <w:r w:rsidRPr="0071436F">
        <w:rPr>
          <w:rFonts w:ascii="Work Sans" w:hAnsi="Work Sans" w:cs="Arial"/>
          <w:b/>
          <w:color w:val="000000"/>
        </w:rPr>
        <w:t>INFORME GLOBAL DE LAS OBSERVACIONES Y COMENTARIOS</w:t>
      </w:r>
    </w:p>
    <w:p w14:paraId="5A2F40E0" w14:textId="77777777" w:rsidR="001112CA" w:rsidRPr="0071436F" w:rsidRDefault="001112CA" w:rsidP="001112CA">
      <w:pPr>
        <w:spacing w:after="0"/>
        <w:jc w:val="both"/>
        <w:rPr>
          <w:rFonts w:ascii="Work Sans" w:hAnsi="Work Sans" w:cs="Arial"/>
          <w:color w:val="000000"/>
        </w:rPr>
      </w:pPr>
    </w:p>
    <w:p w14:paraId="61D8C763" w14:textId="5F19412E" w:rsidR="001112CA" w:rsidRPr="0071436F" w:rsidRDefault="0030762C" w:rsidP="001112CA">
      <w:pPr>
        <w:spacing w:after="0" w:line="240" w:lineRule="auto"/>
        <w:jc w:val="both"/>
        <w:rPr>
          <w:rFonts w:ascii="Work Sans" w:eastAsia="Times New Roman" w:hAnsi="Work Sans" w:cs="Arial"/>
          <w:lang w:eastAsia="es-ES"/>
        </w:rPr>
      </w:pPr>
      <w:r w:rsidRPr="000E7D38">
        <w:rPr>
          <w:rFonts w:ascii="Work Sans" w:eastAsia="Times New Roman" w:hAnsi="Work Sans" w:cs="Arial"/>
          <w:lang w:eastAsia="es-ES"/>
        </w:rPr>
        <w:t>El informe global con las respuestas a cada uno de los comentarios y observaciones recibidas, se encuentran incluidas en la matriz mencionada en el numeral 11 del este documento.</w:t>
      </w:r>
      <w:r w:rsidRPr="000E7D38" w:rsidDel="0030762C">
        <w:rPr>
          <w:rFonts w:ascii="Work Sans" w:eastAsia="Times New Roman" w:hAnsi="Work Sans" w:cs="Arial"/>
          <w:lang w:eastAsia="es-ES"/>
        </w:rPr>
        <w:t xml:space="preserve"> </w:t>
      </w:r>
    </w:p>
    <w:p w14:paraId="5465FE06" w14:textId="77777777" w:rsidR="001112CA" w:rsidRPr="0071436F" w:rsidRDefault="001112CA" w:rsidP="001112CA">
      <w:pPr>
        <w:spacing w:after="0" w:line="240" w:lineRule="auto"/>
        <w:jc w:val="both"/>
        <w:rPr>
          <w:rFonts w:ascii="Work Sans" w:eastAsia="Times New Roman" w:hAnsi="Work Sans" w:cs="Arial"/>
          <w:lang w:eastAsia="es-ES"/>
        </w:rPr>
      </w:pPr>
    </w:p>
    <w:p w14:paraId="67CF1CF2" w14:textId="73EB3CBE" w:rsidR="001112CA" w:rsidRPr="0071436F" w:rsidRDefault="001112CA" w:rsidP="00694839">
      <w:pPr>
        <w:spacing w:after="0" w:line="240" w:lineRule="auto"/>
        <w:jc w:val="both"/>
        <w:rPr>
          <w:rFonts w:ascii="Work Sans" w:eastAsia="Times New Roman" w:hAnsi="Work Sans" w:cs="Arial"/>
          <w:lang w:eastAsia="es-ES"/>
        </w:rPr>
      </w:pPr>
      <w:r w:rsidRPr="0071436F">
        <w:rPr>
          <w:rFonts w:ascii="Work Sans" w:eastAsia="Times New Roman" w:hAnsi="Work Sans" w:cs="Arial"/>
          <w:lang w:eastAsia="es-ES"/>
        </w:rPr>
        <w:t xml:space="preserve">La presente Memoria Justificativa fue elaborada por la Dirección de Hidrocarburos el </w:t>
      </w:r>
      <w:r w:rsidR="00C565FC" w:rsidRPr="0071436F">
        <w:rPr>
          <w:rFonts w:ascii="Work Sans" w:eastAsia="Times New Roman" w:hAnsi="Work Sans" w:cs="Arial"/>
          <w:highlight w:val="yellow"/>
          <w:lang w:eastAsia="es-ES"/>
        </w:rPr>
        <w:t>xx</w:t>
      </w:r>
      <w:r w:rsidRPr="0071436F">
        <w:rPr>
          <w:rFonts w:ascii="Work Sans" w:eastAsia="Times New Roman" w:hAnsi="Work Sans" w:cs="Arial"/>
          <w:highlight w:val="yellow"/>
          <w:lang w:eastAsia="es-ES"/>
        </w:rPr>
        <w:t xml:space="preserve"> de </w:t>
      </w:r>
      <w:r w:rsidR="00600A69">
        <w:rPr>
          <w:rFonts w:ascii="Work Sans" w:eastAsia="Times New Roman" w:hAnsi="Work Sans" w:cs="Arial"/>
          <w:highlight w:val="yellow"/>
          <w:lang w:eastAsia="es-ES"/>
        </w:rPr>
        <w:t>agosto</w:t>
      </w:r>
      <w:r w:rsidRPr="0071436F">
        <w:rPr>
          <w:rFonts w:ascii="Work Sans" w:eastAsia="Times New Roman" w:hAnsi="Work Sans" w:cs="Arial"/>
          <w:highlight w:val="yellow"/>
          <w:lang w:eastAsia="es-ES"/>
        </w:rPr>
        <w:t xml:space="preserve"> de 201</w:t>
      </w:r>
      <w:r w:rsidR="00C565FC" w:rsidRPr="0071436F">
        <w:rPr>
          <w:rFonts w:ascii="Work Sans" w:eastAsia="Times New Roman" w:hAnsi="Work Sans" w:cs="Arial"/>
          <w:highlight w:val="yellow"/>
          <w:lang w:eastAsia="es-ES"/>
        </w:rPr>
        <w:t>9</w:t>
      </w:r>
      <w:r w:rsidRPr="0071436F">
        <w:rPr>
          <w:rFonts w:ascii="Work Sans" w:eastAsia="Times New Roman" w:hAnsi="Work Sans" w:cs="Arial"/>
          <w:lang w:eastAsia="es-ES"/>
        </w:rPr>
        <w:t xml:space="preserve"> y la viabilidad jurídica cuenta con la revisión y visto bueno de la Oficina Asesora Jurídica.</w:t>
      </w:r>
    </w:p>
    <w:p w14:paraId="1F7FE31E" w14:textId="77777777" w:rsidR="0030762C" w:rsidRPr="0071436F" w:rsidRDefault="0030762C" w:rsidP="000E7D38">
      <w:pPr>
        <w:spacing w:after="0"/>
        <w:rPr>
          <w:rFonts w:ascii="Work Sans" w:hAnsi="Work Sans"/>
        </w:rPr>
      </w:pPr>
    </w:p>
    <w:p w14:paraId="15B78A58" w14:textId="77777777" w:rsidR="001112CA" w:rsidRPr="0071436F" w:rsidRDefault="001112CA" w:rsidP="000E7D38">
      <w:pPr>
        <w:spacing w:after="0"/>
        <w:rPr>
          <w:rFonts w:ascii="Work Sans" w:hAnsi="Work Sans"/>
        </w:rPr>
      </w:pPr>
      <w:r w:rsidRPr="0071436F">
        <w:rPr>
          <w:rFonts w:ascii="Work Sans" w:hAnsi="Work Sans"/>
        </w:rPr>
        <w:t>Atentamente,</w:t>
      </w:r>
    </w:p>
    <w:p w14:paraId="3D431FBF" w14:textId="77777777" w:rsidR="001112CA" w:rsidRDefault="001112CA" w:rsidP="001112CA">
      <w:pPr>
        <w:tabs>
          <w:tab w:val="left" w:pos="6843"/>
        </w:tabs>
        <w:spacing w:after="0" w:line="240" w:lineRule="auto"/>
        <w:jc w:val="both"/>
        <w:rPr>
          <w:rFonts w:ascii="Work Sans" w:hAnsi="Work Sans" w:cs="Arial"/>
          <w:b/>
        </w:rPr>
      </w:pPr>
    </w:p>
    <w:p w14:paraId="7F8D349B" w14:textId="77777777" w:rsidR="0030762C" w:rsidRDefault="0030762C" w:rsidP="001112CA">
      <w:pPr>
        <w:tabs>
          <w:tab w:val="left" w:pos="6843"/>
        </w:tabs>
        <w:spacing w:after="0" w:line="240" w:lineRule="auto"/>
        <w:jc w:val="both"/>
        <w:rPr>
          <w:rFonts w:ascii="Work Sans" w:hAnsi="Work Sans" w:cs="Arial"/>
          <w:b/>
        </w:rPr>
      </w:pPr>
    </w:p>
    <w:p w14:paraId="67281811" w14:textId="77777777" w:rsidR="0030762C" w:rsidRPr="0071436F" w:rsidRDefault="0030762C" w:rsidP="001112CA">
      <w:pPr>
        <w:tabs>
          <w:tab w:val="left" w:pos="6843"/>
        </w:tabs>
        <w:spacing w:after="0" w:line="240" w:lineRule="auto"/>
        <w:jc w:val="both"/>
        <w:rPr>
          <w:rFonts w:ascii="Work Sans" w:hAnsi="Work Sans" w:cs="Arial"/>
          <w:b/>
        </w:rPr>
      </w:pPr>
    </w:p>
    <w:p w14:paraId="5325AAB1" w14:textId="77777777" w:rsidR="001112CA" w:rsidRPr="0071436F" w:rsidRDefault="001112CA" w:rsidP="001112CA">
      <w:pPr>
        <w:spacing w:after="0" w:line="240" w:lineRule="auto"/>
        <w:jc w:val="both"/>
        <w:rPr>
          <w:rFonts w:ascii="Work Sans" w:hAnsi="Work Sans" w:cs="Arial"/>
          <w:b/>
        </w:rPr>
      </w:pPr>
    </w:p>
    <w:p w14:paraId="67122D01" w14:textId="50B7EC64" w:rsidR="001112CA" w:rsidRPr="0071436F" w:rsidRDefault="00600A69" w:rsidP="001112CA">
      <w:pPr>
        <w:spacing w:after="0" w:line="240" w:lineRule="auto"/>
        <w:ind w:right="425"/>
        <w:jc w:val="both"/>
        <w:rPr>
          <w:rFonts w:ascii="Work Sans" w:eastAsia="Times New Roman" w:hAnsi="Work Sans" w:cs="Arial"/>
          <w:b/>
          <w:lang w:val="es-ES_tradnl" w:eastAsia="es-ES"/>
        </w:rPr>
      </w:pPr>
      <w:r>
        <w:rPr>
          <w:rFonts w:ascii="Work Sans" w:eastAsia="Times New Roman" w:hAnsi="Work Sans" w:cs="Arial"/>
          <w:b/>
          <w:lang w:val="es-ES_tradnl" w:eastAsia="es-ES"/>
        </w:rPr>
        <w:t>JOSÉ</w:t>
      </w:r>
      <w:r w:rsidR="001112CA" w:rsidRPr="0071436F">
        <w:rPr>
          <w:rFonts w:ascii="Work Sans" w:eastAsia="Times New Roman" w:hAnsi="Work Sans" w:cs="Arial"/>
          <w:b/>
          <w:lang w:val="es-ES_tradnl" w:eastAsia="es-ES"/>
        </w:rPr>
        <w:t xml:space="preserve"> MANUEL MORENO C.</w:t>
      </w:r>
    </w:p>
    <w:p w14:paraId="3F555E00" w14:textId="66E65DB9" w:rsidR="001112CA" w:rsidRPr="0071436F" w:rsidRDefault="001112CA" w:rsidP="001112CA">
      <w:pPr>
        <w:spacing w:after="0" w:line="240" w:lineRule="auto"/>
        <w:ind w:right="425"/>
        <w:jc w:val="both"/>
        <w:rPr>
          <w:rFonts w:ascii="Work Sans" w:eastAsia="Times New Roman" w:hAnsi="Work Sans" w:cs="Arial"/>
          <w:lang w:val="es-ES_tradnl" w:eastAsia="es-ES"/>
        </w:rPr>
      </w:pPr>
      <w:r w:rsidRPr="0071436F">
        <w:rPr>
          <w:rFonts w:ascii="Work Sans" w:eastAsia="Times New Roman" w:hAnsi="Work Sans" w:cs="Arial"/>
          <w:lang w:val="es-ES_tradnl" w:eastAsia="es-ES"/>
        </w:rPr>
        <w:t xml:space="preserve">Director de Hidrocarburos </w:t>
      </w:r>
    </w:p>
    <w:p w14:paraId="4903E949" w14:textId="77777777" w:rsidR="001112CA" w:rsidRPr="0071436F" w:rsidRDefault="001112CA" w:rsidP="001112CA">
      <w:pPr>
        <w:spacing w:after="0" w:line="240" w:lineRule="auto"/>
        <w:jc w:val="both"/>
        <w:rPr>
          <w:rFonts w:ascii="Work Sans" w:eastAsia="Arial" w:hAnsi="Work Sans" w:cs="Arial"/>
        </w:rPr>
      </w:pPr>
    </w:p>
    <w:p w14:paraId="361973B5" w14:textId="0D631DF5" w:rsidR="001112CA" w:rsidRPr="000E7D38" w:rsidRDefault="001112CA" w:rsidP="001112CA">
      <w:pPr>
        <w:spacing w:after="0" w:line="240" w:lineRule="auto"/>
        <w:jc w:val="both"/>
        <w:rPr>
          <w:rFonts w:ascii="Work Sans" w:eastAsia="Arial" w:hAnsi="Work Sans" w:cs="Arial"/>
          <w:sz w:val="16"/>
          <w:szCs w:val="16"/>
        </w:rPr>
      </w:pPr>
      <w:r w:rsidRPr="000E7D38">
        <w:rPr>
          <w:rFonts w:ascii="Work Sans" w:eastAsia="Arial" w:hAnsi="Work Sans" w:cs="Arial"/>
          <w:sz w:val="16"/>
          <w:szCs w:val="16"/>
        </w:rPr>
        <w:t>Proyectó: Carlos Julio Arciniegas Cardozo</w:t>
      </w:r>
      <w:r w:rsidR="00F9155A" w:rsidRPr="000E7D38">
        <w:rPr>
          <w:rFonts w:ascii="Work Sans" w:eastAsia="Arial" w:hAnsi="Work Sans" w:cs="Arial"/>
          <w:sz w:val="16"/>
          <w:szCs w:val="16"/>
        </w:rPr>
        <w:t>/Diego Miguel Piñeros Pulido</w:t>
      </w:r>
      <w:r w:rsidR="00E826B6" w:rsidRPr="000E7D38">
        <w:rPr>
          <w:rFonts w:ascii="Work Sans" w:eastAsia="Arial" w:hAnsi="Work Sans" w:cs="Arial"/>
          <w:sz w:val="16"/>
          <w:szCs w:val="16"/>
        </w:rPr>
        <w:t>/ Milena Durán Páez</w:t>
      </w:r>
      <w:r w:rsidR="00600A69">
        <w:rPr>
          <w:rFonts w:ascii="Work Sans" w:eastAsia="Arial" w:hAnsi="Work Sans" w:cs="Arial"/>
          <w:sz w:val="16"/>
          <w:szCs w:val="16"/>
        </w:rPr>
        <w:t xml:space="preserve"> / Esther Rocío Cortés </w:t>
      </w:r>
      <w:bookmarkStart w:id="0" w:name="_GoBack"/>
      <w:bookmarkEnd w:id="0"/>
    </w:p>
    <w:p w14:paraId="0978A699" w14:textId="39F38601" w:rsidR="001112CA" w:rsidRPr="000E7D38" w:rsidRDefault="001112CA" w:rsidP="001112CA">
      <w:pPr>
        <w:spacing w:after="0" w:line="240" w:lineRule="auto"/>
        <w:ind w:left="283" w:hanging="283"/>
        <w:contextualSpacing/>
        <w:jc w:val="both"/>
        <w:rPr>
          <w:rFonts w:ascii="Work Sans" w:eastAsia="Arial" w:hAnsi="Work Sans" w:cs="Arial"/>
          <w:sz w:val="16"/>
          <w:szCs w:val="16"/>
        </w:rPr>
      </w:pPr>
      <w:r w:rsidRPr="000E7D38">
        <w:rPr>
          <w:rFonts w:ascii="Work Sans" w:eastAsia="Arial" w:hAnsi="Work Sans" w:cs="Arial"/>
          <w:sz w:val="16"/>
          <w:szCs w:val="16"/>
        </w:rPr>
        <w:t>Revisó: Yo</w:t>
      </w:r>
      <w:r w:rsidR="003E18E8" w:rsidRPr="000E7D38">
        <w:rPr>
          <w:rFonts w:ascii="Work Sans" w:eastAsia="Arial" w:hAnsi="Work Sans" w:cs="Arial"/>
          <w:sz w:val="16"/>
          <w:szCs w:val="16"/>
        </w:rPr>
        <w:t>landa Patiño Chacón</w:t>
      </w:r>
      <w:r w:rsidR="00F9155A" w:rsidRPr="000E7D38">
        <w:rPr>
          <w:rFonts w:ascii="Work Sans" w:eastAsia="Arial" w:hAnsi="Work Sans" w:cs="Arial"/>
          <w:sz w:val="16"/>
          <w:szCs w:val="16"/>
        </w:rPr>
        <w:t xml:space="preserve"> </w:t>
      </w:r>
      <w:r w:rsidR="00E826B6" w:rsidRPr="000E7D38">
        <w:rPr>
          <w:rFonts w:ascii="Work Sans" w:eastAsia="Arial" w:hAnsi="Work Sans" w:cs="Arial"/>
          <w:sz w:val="16"/>
          <w:szCs w:val="16"/>
        </w:rPr>
        <w:t xml:space="preserve">/ Lucas Arboleda </w:t>
      </w:r>
      <w:r w:rsidR="00F9155A" w:rsidRPr="000E7D38">
        <w:rPr>
          <w:rFonts w:ascii="Work Sans" w:eastAsia="Arial" w:hAnsi="Work Sans" w:cs="Arial"/>
          <w:sz w:val="16"/>
          <w:szCs w:val="16"/>
        </w:rPr>
        <w:t xml:space="preserve">/ </w:t>
      </w:r>
      <w:r w:rsidR="0030762C">
        <w:rPr>
          <w:rFonts w:ascii="Work Sans" w:eastAsia="Arial" w:hAnsi="Work Sans" w:cs="Arial"/>
          <w:sz w:val="16"/>
          <w:szCs w:val="16"/>
        </w:rPr>
        <w:t>Camilo Andrés Tovar Perilla /</w:t>
      </w:r>
      <w:r w:rsidR="00F9155A" w:rsidRPr="000E7D38">
        <w:rPr>
          <w:rFonts w:ascii="Work Sans" w:eastAsia="Arial" w:hAnsi="Work Sans" w:cs="Arial"/>
          <w:sz w:val="16"/>
          <w:szCs w:val="16"/>
        </w:rPr>
        <w:t>Jorge A. Ortiz</w:t>
      </w:r>
      <w:r w:rsidR="00E826B6" w:rsidRPr="000E7D38">
        <w:rPr>
          <w:rFonts w:ascii="Work Sans" w:eastAsia="Arial" w:hAnsi="Work Sans" w:cs="Arial"/>
          <w:sz w:val="16"/>
          <w:szCs w:val="16"/>
        </w:rPr>
        <w:t xml:space="preserve"> / Mauricio Herrera B/</w:t>
      </w:r>
    </w:p>
    <w:p w14:paraId="749BE5C4" w14:textId="77777777" w:rsidR="001112CA" w:rsidRPr="000E7D38" w:rsidRDefault="001112CA" w:rsidP="001112CA">
      <w:pPr>
        <w:spacing w:after="0" w:line="240" w:lineRule="auto"/>
        <w:ind w:left="283" w:hanging="283"/>
        <w:contextualSpacing/>
        <w:jc w:val="both"/>
        <w:rPr>
          <w:rFonts w:ascii="Work Sans" w:eastAsia="Arial" w:hAnsi="Work Sans" w:cs="Arial"/>
          <w:sz w:val="16"/>
          <w:szCs w:val="16"/>
        </w:rPr>
      </w:pPr>
      <w:r w:rsidRPr="000E7D38">
        <w:rPr>
          <w:rFonts w:ascii="Work Sans" w:eastAsia="Arial" w:hAnsi="Work Sans" w:cs="Arial"/>
          <w:sz w:val="16"/>
          <w:szCs w:val="16"/>
        </w:rPr>
        <w:t>Aprobó: José Manuel Moreno C.</w:t>
      </w:r>
    </w:p>
    <w:p w14:paraId="40D7085C" w14:textId="77777777" w:rsidR="001112CA" w:rsidRPr="0071436F" w:rsidRDefault="001112CA" w:rsidP="001112CA">
      <w:pPr>
        <w:rPr>
          <w:rFonts w:ascii="Work Sans" w:hAnsi="Work Sans" w:cs="Arial"/>
        </w:rPr>
      </w:pPr>
    </w:p>
    <w:p w14:paraId="435D252E" w14:textId="3E44E27A" w:rsidR="00384154" w:rsidRPr="0071436F" w:rsidRDefault="00384154" w:rsidP="00384154">
      <w:pPr>
        <w:pStyle w:val="Textoindependiente"/>
        <w:ind w:left="708" w:right="618" w:firstLine="708"/>
        <w:jc w:val="right"/>
        <w:rPr>
          <w:rFonts w:ascii="Work Sans" w:hAnsi="Work Sans"/>
          <w:sz w:val="16"/>
          <w:szCs w:val="22"/>
          <w:lang w:val="pt-BR"/>
        </w:rPr>
      </w:pPr>
    </w:p>
    <w:sectPr w:rsidR="00384154" w:rsidRPr="0071436F" w:rsidSect="007E52E9">
      <w:headerReference w:type="default" r:id="rId9"/>
      <w:footerReference w:type="default" r:id="rId10"/>
      <w:pgSz w:w="12240" w:h="15840"/>
      <w:pgMar w:top="1701" w:right="1418" w:bottom="1134" w:left="1418" w:header="1559" w:footer="15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001F9" w14:textId="77777777" w:rsidR="00583EA3" w:rsidRDefault="00583EA3" w:rsidP="00CD6908">
      <w:pPr>
        <w:spacing w:after="0" w:line="240" w:lineRule="auto"/>
      </w:pPr>
      <w:r>
        <w:separator/>
      </w:r>
    </w:p>
  </w:endnote>
  <w:endnote w:type="continuationSeparator" w:id="0">
    <w:p w14:paraId="3D23C4F0" w14:textId="77777777" w:rsidR="00583EA3" w:rsidRDefault="00583EA3"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ork Sans">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19E69" w14:textId="63913C96" w:rsidR="006437B2" w:rsidRPr="006437B2" w:rsidRDefault="00F9155A" w:rsidP="006437B2">
    <w:pPr>
      <w:pStyle w:val="Piedepgina"/>
      <w:tabs>
        <w:tab w:val="clear" w:pos="4419"/>
      </w:tabs>
      <w:jc w:val="right"/>
      <w:rPr>
        <w:rFonts w:ascii="Arial" w:hAnsi="Arial" w:cs="Arial"/>
        <w:sz w:val="20"/>
        <w:szCs w:val="20"/>
      </w:rPr>
    </w:pPr>
    <w:r>
      <w:rPr>
        <w:noProof/>
        <w:sz w:val="20"/>
        <w:szCs w:val="20"/>
        <w:lang w:eastAsia="es-CO"/>
      </w:rPr>
      <w:drawing>
        <wp:anchor distT="0" distB="0" distL="114300" distR="114300" simplePos="0" relativeHeight="251664384" behindDoc="0" locked="0" layoutInCell="1" allowOverlap="1" wp14:anchorId="2C695394" wp14:editId="781AC53F">
          <wp:simplePos x="0" y="0"/>
          <wp:positionH relativeFrom="page">
            <wp:posOffset>5080</wp:posOffset>
          </wp:positionH>
          <wp:positionV relativeFrom="paragraph">
            <wp:posOffset>146050</wp:posOffset>
          </wp:positionV>
          <wp:extent cx="7755890" cy="934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Minenergía.png"/>
                  <pic:cNvPicPr/>
                </pic:nvPicPr>
                <pic:blipFill>
                  <a:blip r:embed="rId1">
                    <a:extLst>
                      <a:ext uri="{28A0092B-C50C-407E-A947-70E740481C1C}">
                        <a14:useLocalDpi xmlns:a14="http://schemas.microsoft.com/office/drawing/2010/main" val="0"/>
                      </a:ext>
                    </a:extLst>
                  </a:blip>
                  <a:stretch>
                    <a:fillRect/>
                  </a:stretch>
                </pic:blipFill>
                <pic:spPr>
                  <a:xfrm>
                    <a:off x="0" y="0"/>
                    <a:ext cx="7755890" cy="934435"/>
                  </a:xfrm>
                  <a:prstGeom prst="rect">
                    <a:avLst/>
                  </a:prstGeom>
                </pic:spPr>
              </pic:pic>
            </a:graphicData>
          </a:graphic>
          <wp14:sizeRelH relativeFrom="page">
            <wp14:pctWidth>0</wp14:pctWidth>
          </wp14:sizeRelH>
          <wp14:sizeRelV relativeFrom="page">
            <wp14:pctHeight>0</wp14:pctHeight>
          </wp14:sizeRelV>
        </wp:anchor>
      </w:drawing>
    </w:r>
    <w:r w:rsidR="006437B2" w:rsidRPr="006437B2">
      <w:rPr>
        <w:rFonts w:ascii="Arial" w:hAnsi="Arial" w:cs="Arial"/>
        <w:sz w:val="20"/>
        <w:szCs w:val="20"/>
      </w:rPr>
      <w:t xml:space="preserve">Página </w:t>
    </w:r>
    <w:r w:rsidR="006437B2" w:rsidRPr="006437B2">
      <w:rPr>
        <w:rFonts w:ascii="Arial" w:hAnsi="Arial" w:cs="Arial"/>
        <w:sz w:val="20"/>
        <w:szCs w:val="20"/>
      </w:rPr>
      <w:fldChar w:fldCharType="begin"/>
    </w:r>
    <w:r w:rsidR="006437B2" w:rsidRPr="006437B2">
      <w:rPr>
        <w:rFonts w:ascii="Arial" w:hAnsi="Arial" w:cs="Arial"/>
        <w:sz w:val="20"/>
        <w:szCs w:val="20"/>
      </w:rPr>
      <w:instrText xml:space="preserve"> PAGE  \* Arabic  \* MERGEFORMAT </w:instrText>
    </w:r>
    <w:r w:rsidR="006437B2" w:rsidRPr="006437B2">
      <w:rPr>
        <w:rFonts w:ascii="Arial" w:hAnsi="Arial" w:cs="Arial"/>
        <w:sz w:val="20"/>
        <w:szCs w:val="20"/>
      </w:rPr>
      <w:fldChar w:fldCharType="separate"/>
    </w:r>
    <w:r w:rsidR="00600A69">
      <w:rPr>
        <w:rFonts w:ascii="Arial" w:hAnsi="Arial" w:cs="Arial"/>
        <w:noProof/>
        <w:sz w:val="20"/>
        <w:szCs w:val="20"/>
      </w:rPr>
      <w:t>9</w:t>
    </w:r>
    <w:r w:rsidR="006437B2" w:rsidRPr="006437B2">
      <w:rPr>
        <w:rFonts w:ascii="Arial" w:hAnsi="Arial" w:cs="Arial"/>
        <w:sz w:val="20"/>
        <w:szCs w:val="20"/>
      </w:rPr>
      <w:fldChar w:fldCharType="end"/>
    </w:r>
    <w:r w:rsidR="006437B2" w:rsidRPr="006437B2">
      <w:rPr>
        <w:rFonts w:ascii="Arial" w:hAnsi="Arial" w:cs="Arial"/>
        <w:sz w:val="20"/>
        <w:szCs w:val="20"/>
      </w:rPr>
      <w:t xml:space="preserve"> de</w:t>
    </w:r>
    <w:r w:rsidR="00F43728">
      <w:rPr>
        <w:rFonts w:ascii="Arial" w:hAnsi="Arial" w:cs="Arial"/>
        <w:sz w:val="20"/>
        <w:szCs w:val="20"/>
      </w:rPr>
      <w:t xml:space="preserve"> </w:t>
    </w:r>
    <w:r w:rsidR="00F43728">
      <w:rPr>
        <w:rFonts w:ascii="Arial" w:hAnsi="Arial" w:cs="Arial"/>
        <w:sz w:val="20"/>
        <w:szCs w:val="20"/>
      </w:rPr>
      <w:fldChar w:fldCharType="begin"/>
    </w:r>
    <w:r w:rsidR="00F43728">
      <w:rPr>
        <w:rFonts w:ascii="Arial" w:hAnsi="Arial" w:cs="Arial"/>
        <w:sz w:val="20"/>
        <w:szCs w:val="20"/>
      </w:rPr>
      <w:instrText xml:space="preserve"> NUMPAGES  \* Arabic  \* MERGEFORMAT </w:instrText>
    </w:r>
    <w:r w:rsidR="00F43728">
      <w:rPr>
        <w:rFonts w:ascii="Arial" w:hAnsi="Arial" w:cs="Arial"/>
        <w:sz w:val="20"/>
        <w:szCs w:val="20"/>
      </w:rPr>
      <w:fldChar w:fldCharType="separate"/>
    </w:r>
    <w:r w:rsidR="00600A69">
      <w:rPr>
        <w:rFonts w:ascii="Arial" w:hAnsi="Arial" w:cs="Arial"/>
        <w:noProof/>
        <w:sz w:val="20"/>
        <w:szCs w:val="20"/>
      </w:rPr>
      <w:t>9</w:t>
    </w:r>
    <w:r w:rsidR="00F43728">
      <w:rPr>
        <w:rFonts w:ascii="Arial" w:hAnsi="Arial" w:cs="Arial"/>
        <w:sz w:val="20"/>
        <w:szCs w:val="20"/>
      </w:rPr>
      <w:fldChar w:fldCharType="end"/>
    </w:r>
  </w:p>
  <w:p w14:paraId="4A66E607" w14:textId="02D09D35" w:rsidR="004A4BFE" w:rsidRDefault="004A4BFE" w:rsidP="006A1018">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6BDE" w14:textId="77777777" w:rsidR="00583EA3" w:rsidRDefault="00583EA3" w:rsidP="00CD6908">
      <w:pPr>
        <w:spacing w:after="0" w:line="240" w:lineRule="auto"/>
      </w:pPr>
      <w:r>
        <w:separator/>
      </w:r>
    </w:p>
  </w:footnote>
  <w:footnote w:type="continuationSeparator" w:id="0">
    <w:p w14:paraId="3B2A9951" w14:textId="77777777" w:rsidR="00583EA3" w:rsidRDefault="00583EA3"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1EE6" w14:textId="1E2B8B71" w:rsidR="00B33FC1" w:rsidRDefault="00C61AC0" w:rsidP="004A4BFE">
    <w:pPr>
      <w:pStyle w:val="Encabezado"/>
      <w:jc w:val="center"/>
    </w:pPr>
    <w:r>
      <w:rPr>
        <w:noProof/>
        <w:lang w:eastAsia="es-CO"/>
      </w:rPr>
      <w:drawing>
        <wp:anchor distT="0" distB="0" distL="114300" distR="114300" simplePos="0" relativeHeight="251662336" behindDoc="0" locked="0" layoutInCell="1" allowOverlap="1" wp14:anchorId="079131F1" wp14:editId="68737AB9">
          <wp:simplePos x="0" y="0"/>
          <wp:positionH relativeFrom="margin">
            <wp:posOffset>0</wp:posOffset>
          </wp:positionH>
          <wp:positionV relativeFrom="paragraph">
            <wp:posOffset>-505460</wp:posOffset>
          </wp:positionV>
          <wp:extent cx="1989309" cy="3960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nenergía-Gris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9309" cy="396000"/>
                  </a:xfrm>
                  <a:prstGeom prst="rect">
                    <a:avLst/>
                  </a:prstGeom>
                </pic:spPr>
              </pic:pic>
            </a:graphicData>
          </a:graphic>
          <wp14:sizeRelH relativeFrom="page">
            <wp14:pctWidth>0</wp14:pctWidth>
          </wp14:sizeRelH>
          <wp14:sizeRelV relativeFrom="page">
            <wp14:pctHeight>0</wp14:pctHeight>
          </wp14:sizeRelV>
        </wp:anchor>
      </w:drawing>
    </w:r>
  </w:p>
  <w:p w14:paraId="4CF75404" w14:textId="77777777" w:rsidR="00CD6908" w:rsidRPr="00966328" w:rsidRDefault="00CD6908" w:rsidP="004A4BFE">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27E7B1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BF1A36"/>
    <w:multiLevelType w:val="hybridMultilevel"/>
    <w:tmpl w:val="38BAA82E"/>
    <w:lvl w:ilvl="0" w:tplc="3246F87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B1B56F9"/>
    <w:multiLevelType w:val="hybridMultilevel"/>
    <w:tmpl w:val="8BF6E8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A731C98"/>
    <w:multiLevelType w:val="hybridMultilevel"/>
    <w:tmpl w:val="7B501550"/>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47240A8"/>
    <w:multiLevelType w:val="hybridMultilevel"/>
    <w:tmpl w:val="4C1E855A"/>
    <w:lvl w:ilvl="0" w:tplc="B2F6040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C0B28BD"/>
    <w:multiLevelType w:val="hybridMultilevel"/>
    <w:tmpl w:val="101C4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14421E"/>
    <w:multiLevelType w:val="hybridMultilevel"/>
    <w:tmpl w:val="2C0E97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75D7764"/>
    <w:multiLevelType w:val="hybridMultilevel"/>
    <w:tmpl w:val="F6FCD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92B37CD"/>
    <w:multiLevelType w:val="hybridMultilevel"/>
    <w:tmpl w:val="29E8EE88"/>
    <w:lvl w:ilvl="0" w:tplc="B270F20A">
      <w:start w:val="3"/>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7F4972CA"/>
    <w:multiLevelType w:val="hybridMultilevel"/>
    <w:tmpl w:val="79308A7A"/>
    <w:lvl w:ilvl="0" w:tplc="8068AFD6">
      <w:start w:val="1"/>
      <w:numFmt w:val="low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0"/>
  </w:num>
  <w:num w:numId="5">
    <w:abstractNumId w:val="8"/>
  </w:num>
  <w:num w:numId="6">
    <w:abstractNumId w:val="1"/>
  </w:num>
  <w:num w:numId="7">
    <w:abstractNumId w:val="3"/>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ES" w:vendorID="64" w:dllVersion="0" w:nlCheck="1" w:checkStyle="0"/>
  <w:activeWritingStyle w:appName="MSWord" w:lang="es-CO"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08"/>
    <w:rsid w:val="00003392"/>
    <w:rsid w:val="000134D7"/>
    <w:rsid w:val="00015740"/>
    <w:rsid w:val="00017327"/>
    <w:rsid w:val="000320AA"/>
    <w:rsid w:val="00036F9A"/>
    <w:rsid w:val="0004642C"/>
    <w:rsid w:val="00046CA7"/>
    <w:rsid w:val="000476F1"/>
    <w:rsid w:val="000550AD"/>
    <w:rsid w:val="000564A8"/>
    <w:rsid w:val="000612BF"/>
    <w:rsid w:val="000645F0"/>
    <w:rsid w:val="000847CA"/>
    <w:rsid w:val="0008501C"/>
    <w:rsid w:val="00087D6B"/>
    <w:rsid w:val="0009221E"/>
    <w:rsid w:val="00095918"/>
    <w:rsid w:val="00096B06"/>
    <w:rsid w:val="000A006B"/>
    <w:rsid w:val="000A2979"/>
    <w:rsid w:val="000B179D"/>
    <w:rsid w:val="000B2806"/>
    <w:rsid w:val="000B3201"/>
    <w:rsid w:val="000B4DB6"/>
    <w:rsid w:val="000D3272"/>
    <w:rsid w:val="000D3BA7"/>
    <w:rsid w:val="000E0FA8"/>
    <w:rsid w:val="000E7D38"/>
    <w:rsid w:val="001018F4"/>
    <w:rsid w:val="00102F35"/>
    <w:rsid w:val="00105859"/>
    <w:rsid w:val="00106D5C"/>
    <w:rsid w:val="001112CA"/>
    <w:rsid w:val="00111EB3"/>
    <w:rsid w:val="00111ECA"/>
    <w:rsid w:val="001217EF"/>
    <w:rsid w:val="001362EF"/>
    <w:rsid w:val="00136621"/>
    <w:rsid w:val="001436AA"/>
    <w:rsid w:val="00144200"/>
    <w:rsid w:val="00165BAA"/>
    <w:rsid w:val="00176428"/>
    <w:rsid w:val="00190FC2"/>
    <w:rsid w:val="00191B4F"/>
    <w:rsid w:val="00191D5D"/>
    <w:rsid w:val="00195CDA"/>
    <w:rsid w:val="001A7CF5"/>
    <w:rsid w:val="001E6A54"/>
    <w:rsid w:val="001E7811"/>
    <w:rsid w:val="001F1F18"/>
    <w:rsid w:val="001F57E8"/>
    <w:rsid w:val="00203198"/>
    <w:rsid w:val="002050B7"/>
    <w:rsid w:val="00213C87"/>
    <w:rsid w:val="00213F92"/>
    <w:rsid w:val="00221334"/>
    <w:rsid w:val="00227460"/>
    <w:rsid w:val="002347B5"/>
    <w:rsid w:val="00244F5F"/>
    <w:rsid w:val="00254E60"/>
    <w:rsid w:val="0025698F"/>
    <w:rsid w:val="00264D8B"/>
    <w:rsid w:val="002721FE"/>
    <w:rsid w:val="002765BE"/>
    <w:rsid w:val="00282385"/>
    <w:rsid w:val="00284CAB"/>
    <w:rsid w:val="00285864"/>
    <w:rsid w:val="00285F37"/>
    <w:rsid w:val="00296231"/>
    <w:rsid w:val="002A04AE"/>
    <w:rsid w:val="002B2E6A"/>
    <w:rsid w:val="002B55DC"/>
    <w:rsid w:val="002C0E8D"/>
    <w:rsid w:val="002E3523"/>
    <w:rsid w:val="002E372E"/>
    <w:rsid w:val="002E378F"/>
    <w:rsid w:val="002F3502"/>
    <w:rsid w:val="002F41CF"/>
    <w:rsid w:val="002F5984"/>
    <w:rsid w:val="002F710F"/>
    <w:rsid w:val="0030762C"/>
    <w:rsid w:val="00312607"/>
    <w:rsid w:val="00313319"/>
    <w:rsid w:val="003144D3"/>
    <w:rsid w:val="003205C6"/>
    <w:rsid w:val="00327659"/>
    <w:rsid w:val="003325ED"/>
    <w:rsid w:val="0033558C"/>
    <w:rsid w:val="00342C8B"/>
    <w:rsid w:val="003445C9"/>
    <w:rsid w:val="00350B93"/>
    <w:rsid w:val="0035395D"/>
    <w:rsid w:val="003613B0"/>
    <w:rsid w:val="00370FD8"/>
    <w:rsid w:val="003722AC"/>
    <w:rsid w:val="00381C87"/>
    <w:rsid w:val="0038374B"/>
    <w:rsid w:val="00384154"/>
    <w:rsid w:val="003856D7"/>
    <w:rsid w:val="0039594E"/>
    <w:rsid w:val="003A1BB3"/>
    <w:rsid w:val="003A4FB5"/>
    <w:rsid w:val="003B11DA"/>
    <w:rsid w:val="003B208C"/>
    <w:rsid w:val="003C5B73"/>
    <w:rsid w:val="003D60E1"/>
    <w:rsid w:val="003E18E8"/>
    <w:rsid w:val="003E29B8"/>
    <w:rsid w:val="003F0E52"/>
    <w:rsid w:val="003F5145"/>
    <w:rsid w:val="003F649A"/>
    <w:rsid w:val="00401289"/>
    <w:rsid w:val="00401C40"/>
    <w:rsid w:val="00402D56"/>
    <w:rsid w:val="00423A94"/>
    <w:rsid w:val="00430F60"/>
    <w:rsid w:val="00446BE0"/>
    <w:rsid w:val="00466A6A"/>
    <w:rsid w:val="004728C0"/>
    <w:rsid w:val="004759CC"/>
    <w:rsid w:val="004779E8"/>
    <w:rsid w:val="004833ED"/>
    <w:rsid w:val="004841DB"/>
    <w:rsid w:val="00486D74"/>
    <w:rsid w:val="00497DF0"/>
    <w:rsid w:val="004A2D6D"/>
    <w:rsid w:val="004A4BFE"/>
    <w:rsid w:val="004B7C5D"/>
    <w:rsid w:val="004D3C00"/>
    <w:rsid w:val="004D7602"/>
    <w:rsid w:val="004E065F"/>
    <w:rsid w:val="004E1D81"/>
    <w:rsid w:val="005008A1"/>
    <w:rsid w:val="00501359"/>
    <w:rsid w:val="00503094"/>
    <w:rsid w:val="005040DE"/>
    <w:rsid w:val="005049C9"/>
    <w:rsid w:val="005063B9"/>
    <w:rsid w:val="00510CC9"/>
    <w:rsid w:val="00516121"/>
    <w:rsid w:val="0051729F"/>
    <w:rsid w:val="00521DE3"/>
    <w:rsid w:val="005239ED"/>
    <w:rsid w:val="005245DC"/>
    <w:rsid w:val="005333BA"/>
    <w:rsid w:val="00535378"/>
    <w:rsid w:val="00547B62"/>
    <w:rsid w:val="00553347"/>
    <w:rsid w:val="00557D11"/>
    <w:rsid w:val="005729A0"/>
    <w:rsid w:val="00573384"/>
    <w:rsid w:val="00583EA3"/>
    <w:rsid w:val="00587D08"/>
    <w:rsid w:val="00596F75"/>
    <w:rsid w:val="005A22DC"/>
    <w:rsid w:val="005A385D"/>
    <w:rsid w:val="005A3DB1"/>
    <w:rsid w:val="005B1174"/>
    <w:rsid w:val="005B76F4"/>
    <w:rsid w:val="005B7E72"/>
    <w:rsid w:val="005C3C6F"/>
    <w:rsid w:val="00600A69"/>
    <w:rsid w:val="00602A7F"/>
    <w:rsid w:val="006102C6"/>
    <w:rsid w:val="0062718F"/>
    <w:rsid w:val="00635A44"/>
    <w:rsid w:val="0064065C"/>
    <w:rsid w:val="006437B2"/>
    <w:rsid w:val="00644EE3"/>
    <w:rsid w:val="006455F0"/>
    <w:rsid w:val="00651AC5"/>
    <w:rsid w:val="0065515B"/>
    <w:rsid w:val="006558E5"/>
    <w:rsid w:val="006615A1"/>
    <w:rsid w:val="006720DF"/>
    <w:rsid w:val="00674D16"/>
    <w:rsid w:val="0068673A"/>
    <w:rsid w:val="00691AF1"/>
    <w:rsid w:val="00694839"/>
    <w:rsid w:val="006961B3"/>
    <w:rsid w:val="006A1018"/>
    <w:rsid w:val="006A3250"/>
    <w:rsid w:val="006A3813"/>
    <w:rsid w:val="006B4BBE"/>
    <w:rsid w:val="006B5A0F"/>
    <w:rsid w:val="006B782B"/>
    <w:rsid w:val="006C2302"/>
    <w:rsid w:val="006D46F0"/>
    <w:rsid w:val="006E4DE1"/>
    <w:rsid w:val="006E6F0E"/>
    <w:rsid w:val="006F3492"/>
    <w:rsid w:val="00700E06"/>
    <w:rsid w:val="00707AFF"/>
    <w:rsid w:val="0071436F"/>
    <w:rsid w:val="00723C5E"/>
    <w:rsid w:val="00737663"/>
    <w:rsid w:val="00740F44"/>
    <w:rsid w:val="00744103"/>
    <w:rsid w:val="00746239"/>
    <w:rsid w:val="007469D9"/>
    <w:rsid w:val="00754431"/>
    <w:rsid w:val="00754FA9"/>
    <w:rsid w:val="00754FC8"/>
    <w:rsid w:val="00766151"/>
    <w:rsid w:val="00767861"/>
    <w:rsid w:val="0077490D"/>
    <w:rsid w:val="00783540"/>
    <w:rsid w:val="00790D0F"/>
    <w:rsid w:val="007A2438"/>
    <w:rsid w:val="007A6412"/>
    <w:rsid w:val="007C3357"/>
    <w:rsid w:val="007D4FE6"/>
    <w:rsid w:val="007E52E9"/>
    <w:rsid w:val="007E66F7"/>
    <w:rsid w:val="007E75E4"/>
    <w:rsid w:val="00805BDE"/>
    <w:rsid w:val="0080784E"/>
    <w:rsid w:val="00813AEA"/>
    <w:rsid w:val="00816709"/>
    <w:rsid w:val="00832D75"/>
    <w:rsid w:val="00843F13"/>
    <w:rsid w:val="00843FAA"/>
    <w:rsid w:val="00844991"/>
    <w:rsid w:val="00850168"/>
    <w:rsid w:val="00851FCD"/>
    <w:rsid w:val="008531F5"/>
    <w:rsid w:val="00860E38"/>
    <w:rsid w:val="00861D49"/>
    <w:rsid w:val="00870F00"/>
    <w:rsid w:val="008718D3"/>
    <w:rsid w:val="00874E66"/>
    <w:rsid w:val="0088265C"/>
    <w:rsid w:val="00882EB5"/>
    <w:rsid w:val="00884099"/>
    <w:rsid w:val="0089443E"/>
    <w:rsid w:val="008955D2"/>
    <w:rsid w:val="0089681C"/>
    <w:rsid w:val="008A729A"/>
    <w:rsid w:val="008B6EF6"/>
    <w:rsid w:val="008C08F4"/>
    <w:rsid w:val="008C5F6D"/>
    <w:rsid w:val="008D0C51"/>
    <w:rsid w:val="008D41AA"/>
    <w:rsid w:val="008D5DA6"/>
    <w:rsid w:val="008E12F0"/>
    <w:rsid w:val="00905E2F"/>
    <w:rsid w:val="0090733A"/>
    <w:rsid w:val="00931245"/>
    <w:rsid w:val="00934ADC"/>
    <w:rsid w:val="00936D34"/>
    <w:rsid w:val="00960589"/>
    <w:rsid w:val="00960A8C"/>
    <w:rsid w:val="00961201"/>
    <w:rsid w:val="00965F03"/>
    <w:rsid w:val="00966328"/>
    <w:rsid w:val="00967B6E"/>
    <w:rsid w:val="00970DCD"/>
    <w:rsid w:val="009772B1"/>
    <w:rsid w:val="00982053"/>
    <w:rsid w:val="00982470"/>
    <w:rsid w:val="00992040"/>
    <w:rsid w:val="009A1F7F"/>
    <w:rsid w:val="009A3974"/>
    <w:rsid w:val="009A6BF3"/>
    <w:rsid w:val="009B0727"/>
    <w:rsid w:val="009D561B"/>
    <w:rsid w:val="009E2D1C"/>
    <w:rsid w:val="009E2DF6"/>
    <w:rsid w:val="009F0033"/>
    <w:rsid w:val="009F093E"/>
    <w:rsid w:val="00A154E0"/>
    <w:rsid w:val="00A225A6"/>
    <w:rsid w:val="00A27F54"/>
    <w:rsid w:val="00A324F6"/>
    <w:rsid w:val="00A505BB"/>
    <w:rsid w:val="00A528F9"/>
    <w:rsid w:val="00A562BF"/>
    <w:rsid w:val="00A56750"/>
    <w:rsid w:val="00A6136F"/>
    <w:rsid w:val="00A76DF1"/>
    <w:rsid w:val="00A76EA6"/>
    <w:rsid w:val="00A80147"/>
    <w:rsid w:val="00A81AE5"/>
    <w:rsid w:val="00A93575"/>
    <w:rsid w:val="00AA03DC"/>
    <w:rsid w:val="00AA4144"/>
    <w:rsid w:val="00AB22A7"/>
    <w:rsid w:val="00AC04C2"/>
    <w:rsid w:val="00AC2BFA"/>
    <w:rsid w:val="00AC7FE4"/>
    <w:rsid w:val="00AD04E2"/>
    <w:rsid w:val="00AD63CB"/>
    <w:rsid w:val="00AE1ED0"/>
    <w:rsid w:val="00AE7FE1"/>
    <w:rsid w:val="00B021A8"/>
    <w:rsid w:val="00B03366"/>
    <w:rsid w:val="00B05DF2"/>
    <w:rsid w:val="00B067F2"/>
    <w:rsid w:val="00B11D60"/>
    <w:rsid w:val="00B14168"/>
    <w:rsid w:val="00B17788"/>
    <w:rsid w:val="00B20BA4"/>
    <w:rsid w:val="00B217B4"/>
    <w:rsid w:val="00B23E0C"/>
    <w:rsid w:val="00B25FAD"/>
    <w:rsid w:val="00B308DF"/>
    <w:rsid w:val="00B310B2"/>
    <w:rsid w:val="00B32C42"/>
    <w:rsid w:val="00B33CF7"/>
    <w:rsid w:val="00B33FC1"/>
    <w:rsid w:val="00B472E6"/>
    <w:rsid w:val="00B52676"/>
    <w:rsid w:val="00B52F22"/>
    <w:rsid w:val="00B56C9E"/>
    <w:rsid w:val="00B57A07"/>
    <w:rsid w:val="00B57F21"/>
    <w:rsid w:val="00B63B8C"/>
    <w:rsid w:val="00B672FC"/>
    <w:rsid w:val="00B81D52"/>
    <w:rsid w:val="00B85185"/>
    <w:rsid w:val="00B85492"/>
    <w:rsid w:val="00B95B36"/>
    <w:rsid w:val="00BA6B21"/>
    <w:rsid w:val="00BB1217"/>
    <w:rsid w:val="00BC69D4"/>
    <w:rsid w:val="00BD0DB8"/>
    <w:rsid w:val="00BD589E"/>
    <w:rsid w:val="00BE135E"/>
    <w:rsid w:val="00BF0F07"/>
    <w:rsid w:val="00BF21D3"/>
    <w:rsid w:val="00BF5496"/>
    <w:rsid w:val="00C02F58"/>
    <w:rsid w:val="00C1297E"/>
    <w:rsid w:val="00C136AF"/>
    <w:rsid w:val="00C1555F"/>
    <w:rsid w:val="00C15C80"/>
    <w:rsid w:val="00C243CC"/>
    <w:rsid w:val="00C266C6"/>
    <w:rsid w:val="00C26B22"/>
    <w:rsid w:val="00C332F1"/>
    <w:rsid w:val="00C37489"/>
    <w:rsid w:val="00C55104"/>
    <w:rsid w:val="00C565FC"/>
    <w:rsid w:val="00C61AC0"/>
    <w:rsid w:val="00C61D97"/>
    <w:rsid w:val="00C66888"/>
    <w:rsid w:val="00C67A69"/>
    <w:rsid w:val="00C70D2D"/>
    <w:rsid w:val="00C724CF"/>
    <w:rsid w:val="00C7295B"/>
    <w:rsid w:val="00C810A6"/>
    <w:rsid w:val="00CB21B3"/>
    <w:rsid w:val="00CB34B5"/>
    <w:rsid w:val="00CB7A5C"/>
    <w:rsid w:val="00CC0189"/>
    <w:rsid w:val="00CC1CB1"/>
    <w:rsid w:val="00CD11CA"/>
    <w:rsid w:val="00CD4B47"/>
    <w:rsid w:val="00CD6908"/>
    <w:rsid w:val="00CE3643"/>
    <w:rsid w:val="00CE762C"/>
    <w:rsid w:val="00CF15A9"/>
    <w:rsid w:val="00CF34FB"/>
    <w:rsid w:val="00CF6D52"/>
    <w:rsid w:val="00D00EC5"/>
    <w:rsid w:val="00D12C04"/>
    <w:rsid w:val="00D14FE9"/>
    <w:rsid w:val="00D25737"/>
    <w:rsid w:val="00D25E6B"/>
    <w:rsid w:val="00D3471A"/>
    <w:rsid w:val="00D428AB"/>
    <w:rsid w:val="00D430E7"/>
    <w:rsid w:val="00D460AB"/>
    <w:rsid w:val="00D50591"/>
    <w:rsid w:val="00D561F6"/>
    <w:rsid w:val="00D62C16"/>
    <w:rsid w:val="00D6545F"/>
    <w:rsid w:val="00DA1F6D"/>
    <w:rsid w:val="00DA77E3"/>
    <w:rsid w:val="00DB1116"/>
    <w:rsid w:val="00DB78E3"/>
    <w:rsid w:val="00DC3CCB"/>
    <w:rsid w:val="00DC6571"/>
    <w:rsid w:val="00DF6E51"/>
    <w:rsid w:val="00DF7DF9"/>
    <w:rsid w:val="00E071DB"/>
    <w:rsid w:val="00E073C1"/>
    <w:rsid w:val="00E11596"/>
    <w:rsid w:val="00E1273C"/>
    <w:rsid w:val="00E17796"/>
    <w:rsid w:val="00E344BB"/>
    <w:rsid w:val="00E36F80"/>
    <w:rsid w:val="00E411C2"/>
    <w:rsid w:val="00E41FBB"/>
    <w:rsid w:val="00E42ACA"/>
    <w:rsid w:val="00E50659"/>
    <w:rsid w:val="00E5260C"/>
    <w:rsid w:val="00E617AE"/>
    <w:rsid w:val="00E62C31"/>
    <w:rsid w:val="00E776E9"/>
    <w:rsid w:val="00E826B6"/>
    <w:rsid w:val="00E83834"/>
    <w:rsid w:val="00E856A5"/>
    <w:rsid w:val="00E93203"/>
    <w:rsid w:val="00E96213"/>
    <w:rsid w:val="00EA3B3E"/>
    <w:rsid w:val="00EA5B0D"/>
    <w:rsid w:val="00EA62D7"/>
    <w:rsid w:val="00EB5815"/>
    <w:rsid w:val="00EC22DD"/>
    <w:rsid w:val="00EC793C"/>
    <w:rsid w:val="00ED0ACD"/>
    <w:rsid w:val="00EE7205"/>
    <w:rsid w:val="00EF26A7"/>
    <w:rsid w:val="00F01441"/>
    <w:rsid w:val="00F02EBF"/>
    <w:rsid w:val="00F13402"/>
    <w:rsid w:val="00F14504"/>
    <w:rsid w:val="00F15BFE"/>
    <w:rsid w:val="00F17507"/>
    <w:rsid w:val="00F25413"/>
    <w:rsid w:val="00F27573"/>
    <w:rsid w:val="00F30450"/>
    <w:rsid w:val="00F4250F"/>
    <w:rsid w:val="00F43728"/>
    <w:rsid w:val="00F54A57"/>
    <w:rsid w:val="00F55996"/>
    <w:rsid w:val="00F604EC"/>
    <w:rsid w:val="00F71314"/>
    <w:rsid w:val="00F75AE3"/>
    <w:rsid w:val="00F806E2"/>
    <w:rsid w:val="00F87B51"/>
    <w:rsid w:val="00F9155A"/>
    <w:rsid w:val="00FA61A5"/>
    <w:rsid w:val="00FB42CD"/>
    <w:rsid w:val="00FB46DB"/>
    <w:rsid w:val="00FB75E9"/>
    <w:rsid w:val="00FC080B"/>
    <w:rsid w:val="00FC1414"/>
    <w:rsid w:val="00FC1CD3"/>
    <w:rsid w:val="00FC232A"/>
    <w:rsid w:val="00FC4B24"/>
    <w:rsid w:val="00FE0108"/>
    <w:rsid w:val="00FE7CE5"/>
    <w:rsid w:val="00FF08CD"/>
    <w:rsid w:val="00FF6514"/>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202B7"/>
  <w15:docId w15:val="{4C8A4182-68AD-4A9D-B634-9B4E3839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50B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C1C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table" w:styleId="Tablaconcuadrcula">
    <w:name w:val="Table Grid"/>
    <w:basedOn w:val="Tablanormal"/>
    <w:uiPriority w:val="59"/>
    <w:rsid w:val="00BD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D5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D589E"/>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003392"/>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003392"/>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003392"/>
    <w:pPr>
      <w:ind w:left="708"/>
    </w:pPr>
    <w:rPr>
      <w:rFonts w:ascii="Arial" w:eastAsia="Arial" w:hAnsi="Arial" w:cs="Times New Roman"/>
    </w:rPr>
  </w:style>
  <w:style w:type="character" w:customStyle="1" w:styleId="Ttulo1Car">
    <w:name w:val="Título 1 Car"/>
    <w:basedOn w:val="Fuentedeprrafopredeter"/>
    <w:link w:val="Ttulo1"/>
    <w:uiPriority w:val="9"/>
    <w:rsid w:val="00350B93"/>
    <w:rPr>
      <w:rFonts w:asciiTheme="majorHAnsi" w:eastAsiaTheme="majorEastAsia" w:hAnsiTheme="majorHAnsi" w:cstheme="majorBidi"/>
      <w:color w:val="365F91" w:themeColor="accent1" w:themeShade="BF"/>
      <w:sz w:val="32"/>
      <w:szCs w:val="32"/>
    </w:rPr>
  </w:style>
  <w:style w:type="paragraph" w:styleId="Listaconvietas2">
    <w:name w:val="List Bullet 2"/>
    <w:basedOn w:val="Normal"/>
    <w:uiPriority w:val="99"/>
    <w:unhideWhenUsed/>
    <w:rsid w:val="00350B93"/>
    <w:pPr>
      <w:numPr>
        <w:numId w:val="4"/>
      </w:numPr>
      <w:contextualSpacing/>
    </w:pPr>
  </w:style>
  <w:style w:type="paragraph" w:styleId="Firma">
    <w:name w:val="Signature"/>
    <w:basedOn w:val="Normal"/>
    <w:link w:val="FirmaCar"/>
    <w:uiPriority w:val="99"/>
    <w:unhideWhenUsed/>
    <w:rsid w:val="00350B93"/>
    <w:pPr>
      <w:spacing w:after="0" w:line="240" w:lineRule="auto"/>
      <w:ind w:left="4252"/>
    </w:pPr>
  </w:style>
  <w:style w:type="character" w:customStyle="1" w:styleId="FirmaCar">
    <w:name w:val="Firma Car"/>
    <w:basedOn w:val="Fuentedeprrafopredeter"/>
    <w:link w:val="Firma"/>
    <w:uiPriority w:val="99"/>
    <w:rsid w:val="00350B93"/>
  </w:style>
  <w:style w:type="paragraph" w:styleId="Sangradetextonormal">
    <w:name w:val="Body Text Indent"/>
    <w:basedOn w:val="Normal"/>
    <w:link w:val="SangradetextonormalCar"/>
    <w:uiPriority w:val="99"/>
    <w:unhideWhenUsed/>
    <w:rsid w:val="00350B93"/>
    <w:pPr>
      <w:spacing w:after="120"/>
      <w:ind w:left="283"/>
    </w:pPr>
  </w:style>
  <w:style w:type="character" w:customStyle="1" w:styleId="SangradetextonormalCar">
    <w:name w:val="Sangría de texto normal Car"/>
    <w:basedOn w:val="Fuentedeprrafopredeter"/>
    <w:link w:val="Sangradetextonormal"/>
    <w:uiPriority w:val="99"/>
    <w:rsid w:val="00350B93"/>
  </w:style>
  <w:style w:type="paragraph" w:styleId="Textoindependienteprimerasangra">
    <w:name w:val="Body Text First Indent"/>
    <w:basedOn w:val="Textoindependiente"/>
    <w:link w:val="TextoindependienteprimerasangraCar"/>
    <w:uiPriority w:val="99"/>
    <w:unhideWhenUsed/>
    <w:rsid w:val="00350B93"/>
    <w:pPr>
      <w:spacing w:after="200" w:line="276" w:lineRule="auto"/>
      <w:ind w:firstLine="360"/>
      <w:jc w:val="left"/>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
    <w:link w:val="Textoindependienteprimerasangra"/>
    <w:uiPriority w:val="99"/>
    <w:rsid w:val="00350B93"/>
    <w:rPr>
      <w:rFonts w:ascii="Arial" w:eastAsia="Times New Roman" w:hAnsi="Arial" w:cs="Times New Roman"/>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350B9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0B93"/>
  </w:style>
  <w:style w:type="character" w:styleId="Hipervnculo">
    <w:name w:val="Hyperlink"/>
    <w:basedOn w:val="Fuentedeprrafopredeter"/>
    <w:uiPriority w:val="99"/>
    <w:unhideWhenUsed/>
    <w:rsid w:val="00350B93"/>
    <w:rPr>
      <w:color w:val="0000FF" w:themeColor="hyperlink"/>
      <w:u w:val="single"/>
    </w:rPr>
  </w:style>
  <w:style w:type="character" w:customStyle="1" w:styleId="Ttulo2Car">
    <w:name w:val="Título 2 Car"/>
    <w:basedOn w:val="Fuentedeprrafopredeter"/>
    <w:link w:val="Ttulo2"/>
    <w:uiPriority w:val="9"/>
    <w:rsid w:val="00CC1CB1"/>
    <w:rPr>
      <w:rFonts w:asciiTheme="majorHAnsi" w:eastAsiaTheme="majorEastAsia" w:hAnsiTheme="majorHAnsi" w:cstheme="majorBidi"/>
      <w:color w:val="365F91" w:themeColor="accent1" w:themeShade="BF"/>
      <w:sz w:val="26"/>
      <w:szCs w:val="26"/>
    </w:rPr>
  </w:style>
  <w:style w:type="paragraph" w:styleId="Lista">
    <w:name w:val="List"/>
    <w:basedOn w:val="Normal"/>
    <w:uiPriority w:val="99"/>
    <w:unhideWhenUsed/>
    <w:rsid w:val="00CC1CB1"/>
    <w:pPr>
      <w:ind w:left="283" w:hanging="283"/>
      <w:contextualSpacing/>
    </w:pPr>
  </w:style>
  <w:style w:type="paragraph" w:styleId="Encabezadodemensaje">
    <w:name w:val="Message Header"/>
    <w:basedOn w:val="Normal"/>
    <w:link w:val="EncabezadodemensajeCar"/>
    <w:uiPriority w:val="99"/>
    <w:unhideWhenUsed/>
    <w:rsid w:val="00CC1C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CC1CB1"/>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CC1CB1"/>
  </w:style>
  <w:style w:type="character" w:customStyle="1" w:styleId="SaludoCar">
    <w:name w:val="Saludo Car"/>
    <w:basedOn w:val="Fuentedeprrafopredeter"/>
    <w:link w:val="Saludo"/>
    <w:uiPriority w:val="99"/>
    <w:rsid w:val="00CC1CB1"/>
  </w:style>
  <w:style w:type="paragraph" w:styleId="Cierre">
    <w:name w:val="Closing"/>
    <w:basedOn w:val="Normal"/>
    <w:link w:val="CierreCar"/>
    <w:uiPriority w:val="99"/>
    <w:unhideWhenUsed/>
    <w:rsid w:val="00CC1CB1"/>
    <w:pPr>
      <w:spacing w:after="0" w:line="240" w:lineRule="auto"/>
      <w:ind w:left="4252"/>
    </w:pPr>
  </w:style>
  <w:style w:type="character" w:customStyle="1" w:styleId="CierreCar">
    <w:name w:val="Cierre Car"/>
    <w:basedOn w:val="Fuentedeprrafopredeter"/>
    <w:link w:val="Cierre"/>
    <w:uiPriority w:val="99"/>
    <w:rsid w:val="00CC1CB1"/>
  </w:style>
  <w:style w:type="paragraph" w:customStyle="1" w:styleId="Direccininterior">
    <w:name w:val="Dirección interior"/>
    <w:basedOn w:val="Normal"/>
    <w:rsid w:val="00CC1CB1"/>
  </w:style>
  <w:style w:type="paragraph" w:customStyle="1" w:styleId="Lneadereferencia">
    <w:name w:val="Línea de referencia"/>
    <w:basedOn w:val="Textoindependiente"/>
    <w:rsid w:val="00CC1CB1"/>
  </w:style>
  <w:style w:type="character" w:styleId="Refdecomentario">
    <w:name w:val="annotation reference"/>
    <w:basedOn w:val="Fuentedeprrafopredeter"/>
    <w:uiPriority w:val="99"/>
    <w:semiHidden/>
    <w:unhideWhenUsed/>
    <w:rsid w:val="007C3357"/>
    <w:rPr>
      <w:sz w:val="16"/>
      <w:szCs w:val="16"/>
    </w:rPr>
  </w:style>
  <w:style w:type="paragraph" w:styleId="Textocomentario">
    <w:name w:val="annotation text"/>
    <w:basedOn w:val="Normal"/>
    <w:link w:val="TextocomentarioCar"/>
    <w:uiPriority w:val="99"/>
    <w:semiHidden/>
    <w:unhideWhenUsed/>
    <w:rsid w:val="007C33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3357"/>
    <w:rPr>
      <w:sz w:val="20"/>
      <w:szCs w:val="20"/>
    </w:rPr>
  </w:style>
  <w:style w:type="paragraph" w:styleId="Asuntodelcomentario">
    <w:name w:val="annotation subject"/>
    <w:basedOn w:val="Textocomentario"/>
    <w:next w:val="Textocomentario"/>
    <w:link w:val="AsuntodelcomentarioCar"/>
    <w:uiPriority w:val="99"/>
    <w:semiHidden/>
    <w:unhideWhenUsed/>
    <w:rsid w:val="007C3357"/>
    <w:rPr>
      <w:b/>
      <w:bCs/>
    </w:rPr>
  </w:style>
  <w:style w:type="character" w:customStyle="1" w:styleId="AsuntodelcomentarioCar">
    <w:name w:val="Asunto del comentario Car"/>
    <w:basedOn w:val="TextocomentarioCar"/>
    <w:link w:val="Asuntodelcomentario"/>
    <w:uiPriority w:val="99"/>
    <w:semiHidden/>
    <w:rsid w:val="007C3357"/>
    <w:rPr>
      <w:b/>
      <w:bCs/>
      <w:sz w:val="20"/>
      <w:szCs w:val="20"/>
    </w:rPr>
  </w:style>
  <w:style w:type="paragraph" w:styleId="Textonotapie">
    <w:name w:val="footnote text"/>
    <w:basedOn w:val="Normal"/>
    <w:link w:val="TextonotapieCar"/>
    <w:uiPriority w:val="99"/>
    <w:semiHidden/>
    <w:unhideWhenUsed/>
    <w:rsid w:val="001112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12CA"/>
    <w:rPr>
      <w:sz w:val="20"/>
      <w:szCs w:val="20"/>
    </w:rPr>
  </w:style>
  <w:style w:type="character" w:styleId="Refdenotaalpie">
    <w:name w:val="footnote reference"/>
    <w:basedOn w:val="Fuentedeprrafopredeter"/>
    <w:uiPriority w:val="99"/>
    <w:semiHidden/>
    <w:unhideWhenUsed/>
    <w:rsid w:val="001112CA"/>
    <w:rPr>
      <w:vertAlign w:val="superscript"/>
    </w:rPr>
  </w:style>
  <w:style w:type="paragraph" w:customStyle="1" w:styleId="Default">
    <w:name w:val="Default"/>
    <w:rsid w:val="00CD4B47"/>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Revisin">
    <w:name w:val="Revision"/>
    <w:hidden/>
    <w:uiPriority w:val="99"/>
    <w:semiHidden/>
    <w:rsid w:val="00694839"/>
    <w:pPr>
      <w:spacing w:after="0" w:line="240" w:lineRule="auto"/>
    </w:pPr>
  </w:style>
  <w:style w:type="paragraph" w:styleId="Descripcin">
    <w:name w:val="caption"/>
    <w:basedOn w:val="Normal"/>
    <w:next w:val="Normal"/>
    <w:uiPriority w:val="35"/>
    <w:semiHidden/>
    <w:unhideWhenUsed/>
    <w:qFormat/>
    <w:rsid w:val="00767861"/>
    <w:pPr>
      <w:spacing w:line="240" w:lineRule="auto"/>
    </w:pPr>
    <w:rPr>
      <w:b/>
      <w:bCs/>
      <w:color w:val="4F81BD" w:themeColor="accent1"/>
      <w:sz w:val="18"/>
      <w:szCs w:val="18"/>
    </w:rPr>
  </w:style>
  <w:style w:type="paragraph" w:customStyle="1" w:styleId="m340866416977859319gmail-msolistparagraph">
    <w:name w:val="m_340866416977859319gmail-msolistparagraph"/>
    <w:basedOn w:val="Normal"/>
    <w:rsid w:val="00851FCD"/>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1785">
      <w:bodyDiv w:val="1"/>
      <w:marLeft w:val="0"/>
      <w:marRight w:val="0"/>
      <w:marTop w:val="0"/>
      <w:marBottom w:val="0"/>
      <w:divBdr>
        <w:top w:val="none" w:sz="0" w:space="0" w:color="auto"/>
        <w:left w:val="none" w:sz="0" w:space="0" w:color="auto"/>
        <w:bottom w:val="none" w:sz="0" w:space="0" w:color="auto"/>
        <w:right w:val="none" w:sz="0" w:space="0" w:color="auto"/>
      </w:divBdr>
    </w:div>
    <w:div w:id="107241609">
      <w:bodyDiv w:val="1"/>
      <w:marLeft w:val="0"/>
      <w:marRight w:val="0"/>
      <w:marTop w:val="0"/>
      <w:marBottom w:val="0"/>
      <w:divBdr>
        <w:top w:val="none" w:sz="0" w:space="0" w:color="auto"/>
        <w:left w:val="none" w:sz="0" w:space="0" w:color="auto"/>
        <w:bottom w:val="none" w:sz="0" w:space="0" w:color="auto"/>
        <w:right w:val="none" w:sz="0" w:space="0" w:color="auto"/>
      </w:divBdr>
    </w:div>
    <w:div w:id="193538299">
      <w:bodyDiv w:val="1"/>
      <w:marLeft w:val="0"/>
      <w:marRight w:val="0"/>
      <w:marTop w:val="0"/>
      <w:marBottom w:val="0"/>
      <w:divBdr>
        <w:top w:val="none" w:sz="0" w:space="0" w:color="auto"/>
        <w:left w:val="none" w:sz="0" w:space="0" w:color="auto"/>
        <w:bottom w:val="none" w:sz="0" w:space="0" w:color="auto"/>
        <w:right w:val="none" w:sz="0" w:space="0" w:color="auto"/>
      </w:divBdr>
    </w:div>
    <w:div w:id="273946020">
      <w:bodyDiv w:val="1"/>
      <w:marLeft w:val="0"/>
      <w:marRight w:val="0"/>
      <w:marTop w:val="0"/>
      <w:marBottom w:val="0"/>
      <w:divBdr>
        <w:top w:val="none" w:sz="0" w:space="0" w:color="auto"/>
        <w:left w:val="none" w:sz="0" w:space="0" w:color="auto"/>
        <w:bottom w:val="none" w:sz="0" w:space="0" w:color="auto"/>
        <w:right w:val="none" w:sz="0" w:space="0" w:color="auto"/>
      </w:divBdr>
    </w:div>
    <w:div w:id="378945194">
      <w:bodyDiv w:val="1"/>
      <w:marLeft w:val="0"/>
      <w:marRight w:val="0"/>
      <w:marTop w:val="0"/>
      <w:marBottom w:val="0"/>
      <w:divBdr>
        <w:top w:val="none" w:sz="0" w:space="0" w:color="auto"/>
        <w:left w:val="none" w:sz="0" w:space="0" w:color="auto"/>
        <w:bottom w:val="none" w:sz="0" w:space="0" w:color="auto"/>
        <w:right w:val="none" w:sz="0" w:space="0" w:color="auto"/>
      </w:divBdr>
    </w:div>
    <w:div w:id="941112066">
      <w:bodyDiv w:val="1"/>
      <w:marLeft w:val="0"/>
      <w:marRight w:val="0"/>
      <w:marTop w:val="0"/>
      <w:marBottom w:val="0"/>
      <w:divBdr>
        <w:top w:val="none" w:sz="0" w:space="0" w:color="auto"/>
        <w:left w:val="none" w:sz="0" w:space="0" w:color="auto"/>
        <w:bottom w:val="none" w:sz="0" w:space="0" w:color="auto"/>
        <w:right w:val="none" w:sz="0" w:space="0" w:color="auto"/>
      </w:divBdr>
    </w:div>
    <w:div w:id="1456168911">
      <w:bodyDiv w:val="1"/>
      <w:marLeft w:val="0"/>
      <w:marRight w:val="0"/>
      <w:marTop w:val="0"/>
      <w:marBottom w:val="0"/>
      <w:divBdr>
        <w:top w:val="none" w:sz="0" w:space="0" w:color="auto"/>
        <w:left w:val="none" w:sz="0" w:space="0" w:color="auto"/>
        <w:bottom w:val="none" w:sz="0" w:space="0" w:color="auto"/>
        <w:right w:val="none" w:sz="0" w:space="0" w:color="auto"/>
      </w:divBdr>
    </w:div>
    <w:div w:id="1852378993">
      <w:bodyDiv w:val="1"/>
      <w:marLeft w:val="0"/>
      <w:marRight w:val="0"/>
      <w:marTop w:val="0"/>
      <w:marBottom w:val="0"/>
      <w:divBdr>
        <w:top w:val="none" w:sz="0" w:space="0" w:color="auto"/>
        <w:left w:val="none" w:sz="0" w:space="0" w:color="auto"/>
        <w:bottom w:val="none" w:sz="0" w:space="0" w:color="auto"/>
        <w:right w:val="none" w:sz="0" w:space="0" w:color="auto"/>
      </w:divBdr>
    </w:div>
    <w:div w:id="213516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9C39D-C884-4E16-A7A0-E396C520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2982</Words>
  <Characters>16406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Acosta Gutierrez</dc:creator>
  <cp:lastModifiedBy>ESTHER ROCIO CORTES GORDILLO</cp:lastModifiedBy>
  <cp:revision>3</cp:revision>
  <cp:lastPrinted>2018-07-17T19:45:00Z</cp:lastPrinted>
  <dcterms:created xsi:type="dcterms:W3CDTF">2019-08-14T16:57:00Z</dcterms:created>
  <dcterms:modified xsi:type="dcterms:W3CDTF">2019-08-14T17:08:00Z</dcterms:modified>
</cp:coreProperties>
</file>