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7F3" w:rsidRDefault="003527F3" w:rsidP="007E6C82">
      <w:pPr>
        <w:pStyle w:val="Textoindependiente"/>
        <w:jc w:val="center"/>
        <w:rPr>
          <w:rFonts w:cs="Arial"/>
          <w:b/>
          <w:sz w:val="36"/>
          <w:szCs w:val="36"/>
          <w:lang w:val="es-CO"/>
        </w:rPr>
      </w:pPr>
      <w:r>
        <w:rPr>
          <w:rFonts w:cs="Arial"/>
          <w:b/>
          <w:sz w:val="36"/>
          <w:szCs w:val="36"/>
          <w:lang w:val="es-CO"/>
        </w:rPr>
        <w:t>PROYECTO</w:t>
      </w:r>
    </w:p>
    <w:p w:rsidR="003527F3" w:rsidRDefault="003527F3"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r w:rsidRPr="007E6C82">
        <w:rPr>
          <w:rFonts w:cs="Arial"/>
          <w:b/>
          <w:sz w:val="22"/>
          <w:szCs w:val="22"/>
          <w:lang w:val="es-CO"/>
        </w:rPr>
        <w:t>MEMORÍA JUSTIFICATIVA</w:t>
      </w:r>
    </w:p>
    <w:p w:rsidR="007E6C82" w:rsidRPr="007E6C82" w:rsidRDefault="007E6C82"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p>
    <w:p w:rsidR="007E6C82" w:rsidRPr="007E6C82" w:rsidRDefault="007E6C82" w:rsidP="007E6C82">
      <w:pPr>
        <w:pStyle w:val="Textoindependiente"/>
        <w:jc w:val="center"/>
        <w:rPr>
          <w:rFonts w:cs="Arial"/>
          <w:b/>
          <w:sz w:val="22"/>
          <w:szCs w:val="22"/>
          <w:lang w:val="es-CO"/>
        </w:rPr>
      </w:pPr>
      <w:r w:rsidRPr="007E6C82">
        <w:rPr>
          <w:rFonts w:cs="Arial"/>
          <w:b/>
          <w:sz w:val="22"/>
          <w:szCs w:val="22"/>
          <w:lang w:val="es-CO"/>
        </w:rPr>
        <w:t xml:space="preserve">PROYECTO DE </w:t>
      </w:r>
      <w:r w:rsidR="00285C8B">
        <w:rPr>
          <w:rFonts w:cs="Arial"/>
          <w:b/>
          <w:sz w:val="22"/>
          <w:szCs w:val="22"/>
          <w:lang w:val="es-CO"/>
        </w:rPr>
        <w:t>DECRETO</w:t>
      </w:r>
    </w:p>
    <w:p w:rsidR="007E6C82" w:rsidRPr="007E6C82" w:rsidRDefault="007E6C82"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spacing w:after="0" w:line="240" w:lineRule="auto"/>
        <w:jc w:val="both"/>
        <w:rPr>
          <w:rFonts w:ascii="Arial" w:hAnsi="Arial" w:cs="Arial"/>
          <w:sz w:val="22"/>
          <w:szCs w:val="22"/>
        </w:rPr>
      </w:pPr>
    </w:p>
    <w:p w:rsidR="00285C8B" w:rsidRDefault="00285C8B" w:rsidP="00ED3A2D">
      <w:pPr>
        <w:jc w:val="center"/>
        <w:rPr>
          <w:rFonts w:ascii="Arial" w:hAnsi="Arial" w:cs="Arial"/>
        </w:rPr>
      </w:pPr>
      <w:r w:rsidRPr="00665764">
        <w:rPr>
          <w:rFonts w:ascii="Arial" w:hAnsi="Arial" w:cs="Arial"/>
        </w:rPr>
        <w:t xml:space="preserve">Por </w:t>
      </w:r>
      <w:r>
        <w:rPr>
          <w:rFonts w:ascii="Arial" w:hAnsi="Arial" w:cs="Arial"/>
        </w:rPr>
        <w:t>el</w:t>
      </w:r>
      <w:r w:rsidRPr="00665764">
        <w:rPr>
          <w:rFonts w:ascii="Arial" w:hAnsi="Arial" w:cs="Arial"/>
        </w:rPr>
        <w:t xml:space="preserve"> cual se </w:t>
      </w:r>
      <w:r>
        <w:rPr>
          <w:rFonts w:ascii="Arial" w:hAnsi="Arial" w:cs="Arial"/>
        </w:rPr>
        <w:t xml:space="preserve">extiende la vigencia de algunos reglamentos aplicables a los sectores de hidrocarburos, biocombustibles y minería </w:t>
      </w:r>
    </w:p>
    <w:p w:rsidR="00ED3A2D" w:rsidRPr="007E6C82" w:rsidRDefault="00ED3A2D" w:rsidP="00ED3A2D">
      <w:pPr>
        <w:spacing w:after="0" w:line="240" w:lineRule="auto"/>
        <w:jc w:val="center"/>
        <w:rPr>
          <w:rFonts w:ascii="Arial" w:hAnsi="Arial" w:cs="Arial"/>
          <w:b/>
        </w:rPr>
      </w:pPr>
    </w:p>
    <w:p w:rsidR="007E6C82" w:rsidRPr="007E6C82" w:rsidRDefault="007E6C82" w:rsidP="007E6C82">
      <w:pPr>
        <w:pStyle w:val="Textoindependiente"/>
        <w:numPr>
          <w:ilvl w:val="0"/>
          <w:numId w:val="1"/>
        </w:numPr>
        <w:ind w:hanging="720"/>
        <w:rPr>
          <w:rFonts w:cs="Arial"/>
          <w:b/>
          <w:sz w:val="22"/>
          <w:szCs w:val="22"/>
          <w:lang w:val="es-CO"/>
        </w:rPr>
      </w:pPr>
      <w:r w:rsidRPr="007E6C82">
        <w:rPr>
          <w:rFonts w:cs="Arial"/>
          <w:b/>
          <w:sz w:val="22"/>
          <w:szCs w:val="22"/>
          <w:lang w:val="es-CO"/>
        </w:rPr>
        <w:t>ANTECEDENTES, OPORTUNIDAD Y CONVENIENCIA</w:t>
      </w:r>
    </w:p>
    <w:p w:rsidR="007E6C82" w:rsidRPr="007E6C82" w:rsidRDefault="007E6C82" w:rsidP="007E6C82">
      <w:pPr>
        <w:pStyle w:val="Textoindependiente"/>
        <w:ind w:left="720"/>
        <w:rPr>
          <w:rFonts w:cs="Arial"/>
          <w:b/>
          <w:sz w:val="22"/>
          <w:szCs w:val="22"/>
          <w:lang w:val="es-CO"/>
        </w:rPr>
      </w:pP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3"/>
        <w:numPr>
          <w:ilvl w:val="1"/>
          <w:numId w:val="2"/>
        </w:numPr>
        <w:spacing w:after="0" w:line="240" w:lineRule="auto"/>
        <w:jc w:val="both"/>
        <w:rPr>
          <w:rFonts w:ascii="Arial" w:hAnsi="Arial" w:cs="Arial"/>
          <w:b/>
          <w:sz w:val="22"/>
          <w:szCs w:val="22"/>
        </w:rPr>
      </w:pPr>
      <w:r w:rsidRPr="007E6C82">
        <w:rPr>
          <w:rFonts w:ascii="Arial" w:hAnsi="Arial" w:cs="Arial"/>
          <w:b/>
          <w:sz w:val="22"/>
          <w:szCs w:val="22"/>
        </w:rPr>
        <w:t xml:space="preserve">Antecedentes </w:t>
      </w:r>
    </w:p>
    <w:p w:rsidR="007E6C82" w:rsidRPr="007E6C82" w:rsidRDefault="007E6C82" w:rsidP="007E6C82">
      <w:pPr>
        <w:pStyle w:val="Textoindependiente3"/>
        <w:spacing w:after="0" w:line="240" w:lineRule="auto"/>
        <w:jc w:val="both"/>
        <w:rPr>
          <w:rFonts w:ascii="Arial" w:hAnsi="Arial" w:cs="Arial"/>
          <w:b/>
          <w:sz w:val="22"/>
          <w:szCs w:val="22"/>
        </w:rPr>
      </w:pPr>
    </w:p>
    <w:p w:rsidR="00E525ED" w:rsidRDefault="00E525ED" w:rsidP="007E6C82">
      <w:pPr>
        <w:adjustRightInd w:val="0"/>
        <w:spacing w:after="0" w:line="240" w:lineRule="auto"/>
        <w:jc w:val="both"/>
        <w:rPr>
          <w:rFonts w:ascii="Arial" w:eastAsia="Times New Roman" w:hAnsi="Arial" w:cs="Arial"/>
          <w:lang w:eastAsia="es-ES"/>
        </w:rPr>
      </w:pPr>
    </w:p>
    <w:p w:rsidR="00D64B49" w:rsidRPr="00F918B6" w:rsidRDefault="00D64B49" w:rsidP="00D64B49">
      <w:pPr>
        <w:jc w:val="both"/>
        <w:rPr>
          <w:rFonts w:ascii="Arial" w:hAnsi="Arial" w:cs="Arial"/>
        </w:rPr>
      </w:pPr>
      <w:r>
        <w:rPr>
          <w:rFonts w:ascii="Arial" w:hAnsi="Arial" w:cs="Arial"/>
        </w:rPr>
        <w:t>E</w:t>
      </w:r>
      <w:r w:rsidRPr="00F918B6">
        <w:rPr>
          <w:rFonts w:ascii="Arial" w:hAnsi="Arial" w:cs="Arial"/>
        </w:rPr>
        <w:t>l artículo 212 del Código de Petróleos, el transporte y distribución de petróleos y sus derivados constituyen un servicio público, razón por la cual las personas o entidades dedicadas a esas actividades deberán ejercerlas de conformidad con los reglamentos que dicte el Gobierno, en guarda de los intereses generales.</w:t>
      </w:r>
    </w:p>
    <w:p w:rsidR="00D64B49" w:rsidRDefault="00D64B49" w:rsidP="00D64B49">
      <w:pPr>
        <w:pStyle w:val="NormalWeb"/>
        <w:spacing w:before="0" w:beforeAutospacing="0" w:after="0" w:afterAutospacing="0" w:line="254" w:lineRule="atLeast"/>
        <w:jc w:val="both"/>
        <w:rPr>
          <w:rFonts w:ascii="Arial" w:hAnsi="Arial" w:cs="Arial"/>
          <w:sz w:val="22"/>
          <w:szCs w:val="22"/>
          <w:lang w:val="es-ES_tradnl"/>
        </w:rPr>
      </w:pPr>
      <w:r>
        <w:rPr>
          <w:rFonts w:ascii="Arial" w:hAnsi="Arial" w:cs="Arial"/>
          <w:sz w:val="22"/>
          <w:szCs w:val="22"/>
          <w:lang w:val="es-ES_tradnl"/>
        </w:rPr>
        <w:t xml:space="preserve">El </w:t>
      </w:r>
      <w:r>
        <w:rPr>
          <w:rFonts w:ascii="Arial" w:hAnsi="Arial" w:cs="Arial"/>
          <w:sz w:val="22"/>
          <w:szCs w:val="22"/>
          <w:lang w:val="es-ES_tradnl"/>
        </w:rPr>
        <w:t xml:space="preserve">artículo 1 de la Ley 26 de 1989 dispuso que en razón a la naturaleza del servicio público de la distribución </w:t>
      </w:r>
      <w:r w:rsidRPr="00EF3E39">
        <w:rPr>
          <w:rFonts w:ascii="Arial" w:hAnsi="Arial" w:cs="Arial"/>
          <w:sz w:val="22"/>
          <w:szCs w:val="22"/>
          <w:lang w:val="es-ES_tradnl"/>
        </w:rPr>
        <w:t>de combustibles líquidos derivados del petróleo</w:t>
      </w:r>
      <w:r>
        <w:rPr>
          <w:rFonts w:ascii="Arial" w:hAnsi="Arial" w:cs="Arial"/>
          <w:sz w:val="22"/>
          <w:szCs w:val="22"/>
          <w:lang w:val="es-ES_tradnl"/>
        </w:rPr>
        <w:t xml:space="preserve">, </w:t>
      </w:r>
      <w:r w:rsidRPr="00EF3E39">
        <w:rPr>
          <w:rFonts w:ascii="Arial" w:hAnsi="Arial" w:cs="Arial"/>
          <w:sz w:val="22"/>
          <w:szCs w:val="22"/>
          <w:lang w:val="es-ES_tradnl"/>
        </w:rPr>
        <w:t>el Gobierno podrá determinar: horarios, precios, márgenes de comercialización, calidad, calibraciones, condiciones de seguridad, relaciones contractuales y demás condiciones que influyen en la mejor prestación de ese servicio público.</w:t>
      </w:r>
    </w:p>
    <w:p w:rsidR="00D64B49" w:rsidRDefault="00D64B49" w:rsidP="00D64B49">
      <w:pPr>
        <w:pStyle w:val="NormalWeb"/>
        <w:spacing w:before="0" w:beforeAutospacing="0" w:after="0" w:afterAutospacing="0" w:line="254" w:lineRule="atLeast"/>
        <w:jc w:val="both"/>
        <w:rPr>
          <w:rFonts w:ascii="Arial" w:hAnsi="Arial" w:cs="Arial"/>
          <w:sz w:val="22"/>
          <w:szCs w:val="22"/>
          <w:lang w:val="es-ES_tradnl"/>
        </w:rPr>
      </w:pPr>
    </w:p>
    <w:p w:rsidR="00D64B49" w:rsidRDefault="00D64B49" w:rsidP="00D64B49">
      <w:pPr>
        <w:pStyle w:val="NormalWeb"/>
        <w:spacing w:before="0" w:beforeAutospacing="0" w:after="0" w:afterAutospacing="0" w:line="254" w:lineRule="atLeast"/>
        <w:jc w:val="both"/>
        <w:rPr>
          <w:rFonts w:ascii="Arial" w:hAnsi="Arial" w:cs="Arial"/>
          <w:sz w:val="22"/>
          <w:szCs w:val="22"/>
          <w:lang w:val="es-ES_tradnl"/>
        </w:rPr>
      </w:pPr>
      <w:r>
        <w:rPr>
          <w:rFonts w:ascii="Arial" w:hAnsi="Arial" w:cs="Arial"/>
          <w:sz w:val="22"/>
          <w:szCs w:val="22"/>
          <w:lang w:val="es-ES_tradnl"/>
        </w:rPr>
        <w:t>M</w:t>
      </w:r>
      <w:r>
        <w:rPr>
          <w:rFonts w:ascii="Arial" w:hAnsi="Arial" w:cs="Arial"/>
          <w:sz w:val="22"/>
          <w:szCs w:val="22"/>
          <w:lang w:val="es-ES_tradnl"/>
        </w:rPr>
        <w:t>ediante los decretos 283 de 1990 y 1521 de 1990, compilados en el Decreto Único Reglamentario del Sector Administrativo de Minas y Energía, se expidieron los reglamentos técnicos que rigen la construcción de plantas de abastecimiento de combustibles y de estaciones de servicio para la distribución de combustibles líquidos.</w:t>
      </w:r>
    </w:p>
    <w:p w:rsidR="00D64B49" w:rsidRDefault="00D64B49" w:rsidP="00D64B49">
      <w:pPr>
        <w:pStyle w:val="NormalWeb"/>
        <w:spacing w:before="0" w:beforeAutospacing="0" w:after="0" w:afterAutospacing="0" w:line="254" w:lineRule="atLeast"/>
        <w:jc w:val="both"/>
        <w:rPr>
          <w:rFonts w:ascii="Arial" w:hAnsi="Arial" w:cs="Arial"/>
          <w:sz w:val="22"/>
          <w:szCs w:val="22"/>
          <w:lang w:val="es-ES_tradnl"/>
        </w:rPr>
      </w:pPr>
    </w:p>
    <w:p w:rsidR="00D64B49" w:rsidRDefault="00D64B49" w:rsidP="00D64B49">
      <w:pPr>
        <w:pStyle w:val="NormalWeb"/>
        <w:spacing w:before="0" w:beforeAutospacing="0" w:after="0" w:afterAutospacing="0" w:line="254" w:lineRule="atLeast"/>
        <w:jc w:val="both"/>
        <w:rPr>
          <w:rFonts w:ascii="Arial" w:hAnsi="Arial" w:cs="Arial"/>
          <w:sz w:val="22"/>
          <w:szCs w:val="22"/>
          <w:lang w:val="es-ES_tradnl"/>
        </w:rPr>
      </w:pPr>
      <w:r>
        <w:rPr>
          <w:rFonts w:ascii="Arial" w:hAnsi="Arial" w:cs="Arial"/>
          <w:sz w:val="22"/>
          <w:szCs w:val="22"/>
          <w:lang w:val="es-ES_tradnl"/>
        </w:rPr>
        <w:t>M</w:t>
      </w:r>
      <w:r>
        <w:rPr>
          <w:rFonts w:ascii="Arial" w:hAnsi="Arial" w:cs="Arial"/>
          <w:sz w:val="22"/>
          <w:szCs w:val="22"/>
          <w:lang w:val="es-ES_tradnl"/>
        </w:rPr>
        <w:t xml:space="preserve">ediante los decretos 2629 de 2007 </w:t>
      </w:r>
      <w:r w:rsidRPr="00650D9B">
        <w:rPr>
          <w:rFonts w:ascii="Arial" w:hAnsi="Arial" w:cs="Arial"/>
          <w:sz w:val="22"/>
          <w:szCs w:val="22"/>
          <w:lang w:val="es-ES_tradnl"/>
        </w:rPr>
        <w:t>y  4892 de 2011</w:t>
      </w:r>
      <w:r>
        <w:rPr>
          <w:rFonts w:ascii="Arial" w:hAnsi="Arial" w:cs="Arial"/>
          <w:sz w:val="22"/>
          <w:szCs w:val="22"/>
          <w:lang w:val="es-ES_tradnl"/>
        </w:rPr>
        <w:t xml:space="preserve">, los cuales se encuentran compilados en el Decreto 1073 de 2015, se establecieron </w:t>
      </w:r>
      <w:r w:rsidRPr="00650D9B">
        <w:rPr>
          <w:rFonts w:ascii="Arial" w:hAnsi="Arial" w:cs="Arial"/>
          <w:sz w:val="22"/>
          <w:szCs w:val="22"/>
          <w:lang w:val="es-ES_tradnl"/>
        </w:rPr>
        <w:t>disposiciones para</w:t>
      </w:r>
      <w:r>
        <w:rPr>
          <w:rFonts w:ascii="Arial" w:hAnsi="Arial" w:cs="Arial"/>
          <w:sz w:val="22"/>
          <w:szCs w:val="22"/>
          <w:lang w:val="es-ES_tradnl"/>
        </w:rPr>
        <w:t xml:space="preserve"> </w:t>
      </w:r>
      <w:r w:rsidRPr="00650D9B">
        <w:rPr>
          <w:rFonts w:ascii="Arial" w:hAnsi="Arial" w:cs="Arial"/>
          <w:sz w:val="22"/>
          <w:szCs w:val="22"/>
          <w:lang w:val="es-ES_tradnl"/>
        </w:rPr>
        <w:t>promover el uso de biocombustibles en el país, así</w:t>
      </w:r>
      <w:r>
        <w:rPr>
          <w:rFonts w:ascii="Arial" w:hAnsi="Arial" w:cs="Arial"/>
          <w:sz w:val="22"/>
          <w:szCs w:val="22"/>
          <w:lang w:val="es-ES_tradnl"/>
        </w:rPr>
        <w:t xml:space="preserve"> </w:t>
      </w:r>
      <w:r w:rsidRPr="00650D9B">
        <w:rPr>
          <w:rFonts w:ascii="Arial" w:hAnsi="Arial" w:cs="Arial"/>
          <w:sz w:val="22"/>
          <w:szCs w:val="22"/>
          <w:lang w:val="es-ES_tradnl"/>
        </w:rPr>
        <w:t xml:space="preserve">como medidas aplicables a los </w:t>
      </w:r>
      <w:r>
        <w:rPr>
          <w:rFonts w:ascii="Arial" w:hAnsi="Arial" w:cs="Arial"/>
          <w:sz w:val="22"/>
          <w:szCs w:val="22"/>
          <w:lang w:val="es-ES_tradnl"/>
        </w:rPr>
        <w:t>ve</w:t>
      </w:r>
      <w:r w:rsidRPr="00650D9B">
        <w:rPr>
          <w:rFonts w:ascii="Arial" w:hAnsi="Arial" w:cs="Arial"/>
          <w:sz w:val="22"/>
          <w:szCs w:val="22"/>
          <w:lang w:val="es-ES_tradnl"/>
        </w:rPr>
        <w:t>hículos y demás artefactos a motor que utilicen c</w:t>
      </w:r>
      <w:r>
        <w:rPr>
          <w:rFonts w:ascii="Arial" w:hAnsi="Arial" w:cs="Arial"/>
          <w:sz w:val="22"/>
          <w:szCs w:val="22"/>
          <w:lang w:val="es-ES_tradnl"/>
        </w:rPr>
        <w:t>o</w:t>
      </w:r>
      <w:r w:rsidRPr="00650D9B">
        <w:rPr>
          <w:rFonts w:ascii="Arial" w:hAnsi="Arial" w:cs="Arial"/>
          <w:sz w:val="22"/>
          <w:szCs w:val="22"/>
          <w:lang w:val="es-ES_tradnl"/>
        </w:rPr>
        <w:t>mbustibles para su funcionamiento</w:t>
      </w:r>
      <w:r>
        <w:rPr>
          <w:rFonts w:ascii="Arial" w:hAnsi="Arial" w:cs="Arial"/>
          <w:sz w:val="22"/>
          <w:szCs w:val="22"/>
          <w:lang w:val="es-ES_tradnl"/>
        </w:rPr>
        <w:t>.</w:t>
      </w:r>
    </w:p>
    <w:p w:rsidR="00D64B49" w:rsidRDefault="00D64B49" w:rsidP="00D64B49">
      <w:pPr>
        <w:pStyle w:val="NormalWeb"/>
        <w:shd w:val="clear" w:color="auto" w:fill="FFFFFF"/>
        <w:spacing w:before="0" w:beforeAutospacing="0" w:after="0" w:afterAutospacing="0"/>
        <w:jc w:val="both"/>
        <w:rPr>
          <w:rFonts w:ascii="Arial" w:hAnsi="Arial" w:cs="Arial"/>
          <w:sz w:val="22"/>
          <w:szCs w:val="22"/>
        </w:rPr>
      </w:pPr>
    </w:p>
    <w:p w:rsidR="00285C8B" w:rsidRDefault="00D64B49" w:rsidP="00D64B49">
      <w:pPr>
        <w:pStyle w:val="Normal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P</w:t>
      </w:r>
      <w:r w:rsidR="00285C8B" w:rsidRPr="00285C8B">
        <w:rPr>
          <w:rFonts w:ascii="Arial" w:hAnsi="Arial" w:cs="Arial"/>
          <w:sz w:val="22"/>
          <w:szCs w:val="22"/>
        </w:rPr>
        <w:t xml:space="preserve">or su parte y en materia de minería, </w:t>
      </w:r>
      <w:r>
        <w:rPr>
          <w:rFonts w:ascii="Arial" w:hAnsi="Arial" w:cs="Arial"/>
          <w:sz w:val="22"/>
          <w:szCs w:val="22"/>
        </w:rPr>
        <w:t xml:space="preserve">con base en las facultades señaladas en el numeral 11 del artículo 189 de la Constitución Política, el Gobierno Nacional </w:t>
      </w:r>
      <w:r w:rsidR="00285C8B">
        <w:rPr>
          <w:rFonts w:ascii="Arial" w:hAnsi="Arial" w:cs="Arial"/>
          <w:sz w:val="22"/>
          <w:szCs w:val="22"/>
        </w:rPr>
        <w:t>a través de</w:t>
      </w:r>
      <w:r w:rsidR="00285C8B" w:rsidRPr="00285C8B">
        <w:rPr>
          <w:rFonts w:ascii="Arial" w:hAnsi="Arial" w:cs="Arial"/>
          <w:sz w:val="22"/>
          <w:szCs w:val="22"/>
        </w:rPr>
        <w:t>l Decreto 2222 de 1993 de 1993</w:t>
      </w:r>
      <w:r w:rsidR="00285C8B">
        <w:rPr>
          <w:rFonts w:ascii="Arial" w:hAnsi="Arial" w:cs="Arial"/>
          <w:sz w:val="22"/>
          <w:szCs w:val="22"/>
        </w:rPr>
        <w:t xml:space="preserve"> se expidió el </w:t>
      </w:r>
      <w:r w:rsidR="00285C8B" w:rsidRPr="00285C8B">
        <w:rPr>
          <w:rFonts w:ascii="Arial" w:hAnsi="Arial" w:cs="Arial"/>
          <w:sz w:val="22"/>
          <w:szCs w:val="22"/>
        </w:rPr>
        <w:t xml:space="preserve">reglamento de higiene y seguridad en las labores mineras a cielo abierto, </w:t>
      </w:r>
      <w:r w:rsidR="00285C8B">
        <w:rPr>
          <w:rFonts w:ascii="Arial" w:hAnsi="Arial" w:cs="Arial"/>
          <w:sz w:val="22"/>
          <w:szCs w:val="22"/>
        </w:rPr>
        <w:t xml:space="preserve">el cual </w:t>
      </w:r>
      <w:r w:rsidR="00285C8B" w:rsidRPr="00285C8B">
        <w:rPr>
          <w:rFonts w:ascii="Arial" w:hAnsi="Arial" w:cs="Arial"/>
          <w:sz w:val="22"/>
          <w:szCs w:val="22"/>
        </w:rPr>
        <w:t xml:space="preserve">contiene </w:t>
      </w:r>
      <w:r w:rsidR="00285C8B">
        <w:rPr>
          <w:rFonts w:ascii="Arial" w:hAnsi="Arial" w:cs="Arial"/>
          <w:sz w:val="22"/>
          <w:szCs w:val="22"/>
        </w:rPr>
        <w:t xml:space="preserve">los parámetros </w:t>
      </w:r>
      <w:r w:rsidR="00285C8B" w:rsidRPr="00285C8B">
        <w:rPr>
          <w:rFonts w:ascii="Arial" w:hAnsi="Arial" w:cs="Arial"/>
          <w:sz w:val="22"/>
          <w:szCs w:val="22"/>
        </w:rPr>
        <w:t xml:space="preserve">para la preservación de las condiciones de seguridad e higiene </w:t>
      </w:r>
      <w:r w:rsidR="00285C8B">
        <w:rPr>
          <w:rFonts w:ascii="Arial" w:hAnsi="Arial" w:cs="Arial"/>
          <w:sz w:val="22"/>
          <w:szCs w:val="22"/>
        </w:rPr>
        <w:t xml:space="preserve">al que </w:t>
      </w:r>
      <w:r w:rsidR="00285C8B" w:rsidRPr="00285C8B">
        <w:rPr>
          <w:rFonts w:ascii="Arial" w:hAnsi="Arial" w:cs="Arial"/>
          <w:sz w:val="22"/>
          <w:szCs w:val="22"/>
        </w:rPr>
        <w:t xml:space="preserve">están sometidas las personas naturales y jurídicas que desarrollen </w:t>
      </w:r>
      <w:r w:rsidR="00285C8B">
        <w:rPr>
          <w:rFonts w:ascii="Arial" w:hAnsi="Arial" w:cs="Arial"/>
          <w:sz w:val="22"/>
          <w:szCs w:val="22"/>
        </w:rPr>
        <w:t>estas actividades.</w:t>
      </w:r>
    </w:p>
    <w:p w:rsidR="007E6C82" w:rsidRPr="007E6C82" w:rsidRDefault="007E6C82" w:rsidP="007E6C82">
      <w:pPr>
        <w:pStyle w:val="NormalWeb"/>
        <w:spacing w:before="0" w:beforeAutospacing="0" w:after="0" w:afterAutospacing="0"/>
        <w:ind w:right="567"/>
        <w:jc w:val="both"/>
        <w:rPr>
          <w:rFonts w:ascii="Arial" w:hAnsi="Arial" w:cs="Arial"/>
          <w:sz w:val="22"/>
          <w:szCs w:val="22"/>
        </w:rPr>
      </w:pPr>
    </w:p>
    <w:p w:rsidR="007E6C82" w:rsidRPr="007E6C82" w:rsidRDefault="007E6C82" w:rsidP="007E6C82">
      <w:pPr>
        <w:pStyle w:val="Textoindependiente3"/>
        <w:numPr>
          <w:ilvl w:val="1"/>
          <w:numId w:val="2"/>
        </w:numPr>
        <w:spacing w:after="0" w:line="240" w:lineRule="auto"/>
        <w:jc w:val="both"/>
        <w:rPr>
          <w:rFonts w:ascii="Arial" w:hAnsi="Arial" w:cs="Arial"/>
          <w:b/>
          <w:bCs/>
          <w:sz w:val="22"/>
          <w:szCs w:val="22"/>
          <w:lang w:val="es-ES"/>
        </w:rPr>
      </w:pPr>
      <w:r w:rsidRPr="007E6C82">
        <w:rPr>
          <w:rFonts w:ascii="Arial" w:hAnsi="Arial" w:cs="Arial"/>
          <w:b/>
          <w:bCs/>
          <w:sz w:val="22"/>
          <w:szCs w:val="22"/>
          <w:lang w:val="es-ES"/>
        </w:rPr>
        <w:t>Oportunidad</w:t>
      </w:r>
    </w:p>
    <w:p w:rsidR="00F137D5" w:rsidRDefault="00F137D5" w:rsidP="007E6C82">
      <w:pPr>
        <w:widowControl w:val="0"/>
        <w:autoSpaceDE w:val="0"/>
        <w:autoSpaceDN w:val="0"/>
        <w:adjustRightInd w:val="0"/>
        <w:spacing w:after="0" w:line="240" w:lineRule="auto"/>
        <w:jc w:val="both"/>
        <w:rPr>
          <w:rFonts w:ascii="Arial" w:hAnsi="Arial" w:cs="Arial"/>
        </w:rPr>
      </w:pPr>
    </w:p>
    <w:p w:rsidR="00F137D5" w:rsidRDefault="00F137D5" w:rsidP="00F137D5">
      <w:pPr>
        <w:jc w:val="both"/>
        <w:rPr>
          <w:rFonts w:ascii="Arial" w:hAnsi="Arial" w:cs="Arial"/>
          <w:lang w:val="es-ES_tradnl"/>
        </w:rPr>
      </w:pPr>
      <w:r>
        <w:rPr>
          <w:rFonts w:ascii="Arial" w:hAnsi="Arial" w:cs="Arial"/>
          <w:lang w:val="es-ES_tradnl"/>
        </w:rPr>
        <w:t xml:space="preserve">De </w:t>
      </w:r>
      <w:r w:rsidRPr="002170D6">
        <w:rPr>
          <w:rFonts w:ascii="Arial" w:hAnsi="Arial" w:cs="Arial"/>
          <w:lang w:val="es-ES_tradnl"/>
        </w:rPr>
        <w:t>conformidad con lo establecido en el artículo 2.2.1.7.6.7 del Decreto 1595 de 2015, los reglamentos técnicos deben ser sometidos a revisión por parte de la entidad reguladora, con el fin de determinar su permanencia, modificación o derogatoria, por lo menos una vez cada cinco (5) años, o antes si ca</w:t>
      </w:r>
      <w:r>
        <w:rPr>
          <w:rFonts w:ascii="Arial" w:hAnsi="Arial" w:cs="Arial"/>
          <w:lang w:val="es-ES_tradnl"/>
        </w:rPr>
        <w:t>mbian las causas que le dieron origen.</w:t>
      </w:r>
    </w:p>
    <w:p w:rsidR="00F137D5" w:rsidRDefault="00F137D5" w:rsidP="00F137D5">
      <w:pPr>
        <w:jc w:val="both"/>
        <w:rPr>
          <w:rFonts w:ascii="Arial" w:hAnsi="Arial" w:cs="Arial"/>
          <w:lang w:val="es-ES_tradnl"/>
        </w:rPr>
      </w:pPr>
      <w:r>
        <w:rPr>
          <w:rFonts w:ascii="Arial" w:hAnsi="Arial" w:cs="Arial"/>
          <w:lang w:val="es-ES_tradnl"/>
        </w:rPr>
        <w:t>De igual forma, el citado precepto dispone que aquellos reglamentos técnicos que transcurridos cinco (5) años desde su entrada en vigencia no hayan sido revisados y decidida su permanencia o modificación no harán parte del ordenamiento jurídico.</w:t>
      </w:r>
    </w:p>
    <w:p w:rsidR="00F137D5" w:rsidRDefault="00F137D5" w:rsidP="00F137D5">
      <w:pPr>
        <w:jc w:val="both"/>
        <w:rPr>
          <w:rFonts w:ascii="Arial" w:hAnsi="Arial" w:cs="Arial"/>
          <w:lang w:val="es-ES_tradnl"/>
        </w:rPr>
      </w:pPr>
      <w:r>
        <w:rPr>
          <w:rFonts w:ascii="Arial" w:hAnsi="Arial" w:cs="Arial"/>
          <w:lang w:val="es-ES_tradnl"/>
        </w:rPr>
        <w:t xml:space="preserve">Por su parte, el artículo 1 del Decreto 593 del 5 de abril de 2017 dispuso que el artículo 2.2.1.7.6.7. </w:t>
      </w:r>
      <w:proofErr w:type="gramStart"/>
      <w:r>
        <w:rPr>
          <w:rFonts w:ascii="Arial" w:hAnsi="Arial" w:cs="Arial"/>
          <w:lang w:val="es-ES_tradnl"/>
        </w:rPr>
        <w:t>del</w:t>
      </w:r>
      <w:proofErr w:type="gramEnd"/>
      <w:r>
        <w:rPr>
          <w:rFonts w:ascii="Arial" w:hAnsi="Arial" w:cs="Arial"/>
          <w:lang w:val="es-ES_tradnl"/>
        </w:rPr>
        <w:t xml:space="preserve"> Decreto 1595 de 2015 comenzará a regir a partir del 1 de enero de 2018.</w:t>
      </w:r>
    </w:p>
    <w:p w:rsidR="007E6C82" w:rsidRPr="007E6C82" w:rsidRDefault="007E6C82"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numPr>
          <w:ilvl w:val="1"/>
          <w:numId w:val="2"/>
        </w:numPr>
        <w:spacing w:after="0" w:line="240" w:lineRule="auto"/>
        <w:jc w:val="both"/>
        <w:rPr>
          <w:rFonts w:ascii="Arial" w:hAnsi="Arial" w:cs="Arial"/>
          <w:b/>
          <w:sz w:val="22"/>
          <w:szCs w:val="22"/>
        </w:rPr>
      </w:pPr>
      <w:r w:rsidRPr="007E6C82">
        <w:rPr>
          <w:rFonts w:ascii="Arial" w:hAnsi="Arial" w:cs="Arial"/>
          <w:b/>
          <w:sz w:val="22"/>
          <w:szCs w:val="22"/>
        </w:rPr>
        <w:t>Conveniencia</w:t>
      </w:r>
    </w:p>
    <w:p w:rsidR="007E6C82" w:rsidRDefault="007E6C82" w:rsidP="007E6C82">
      <w:pPr>
        <w:pStyle w:val="Textoindependiente3"/>
        <w:spacing w:after="0" w:line="240" w:lineRule="auto"/>
        <w:jc w:val="both"/>
        <w:rPr>
          <w:rFonts w:ascii="Arial" w:hAnsi="Arial" w:cs="Arial"/>
          <w:sz w:val="22"/>
          <w:szCs w:val="22"/>
        </w:rPr>
      </w:pPr>
    </w:p>
    <w:p w:rsidR="00F137D5" w:rsidRDefault="00F137D5" w:rsidP="007E6C82">
      <w:pPr>
        <w:pStyle w:val="Textoindependiente3"/>
        <w:spacing w:after="0" w:line="240" w:lineRule="auto"/>
        <w:jc w:val="both"/>
        <w:rPr>
          <w:rFonts w:ascii="Arial" w:hAnsi="Arial" w:cs="Arial"/>
          <w:sz w:val="22"/>
          <w:szCs w:val="22"/>
        </w:rPr>
      </w:pPr>
      <w:r>
        <w:rPr>
          <w:rFonts w:ascii="Arial" w:hAnsi="Arial" w:cs="Arial"/>
          <w:sz w:val="22"/>
          <w:szCs w:val="22"/>
        </w:rPr>
        <w:t xml:space="preserve">De conformidad con lo señalado en el artículo 2.2.1.7.6.7. </w:t>
      </w:r>
      <w:proofErr w:type="gramStart"/>
      <w:r>
        <w:rPr>
          <w:rFonts w:ascii="Arial" w:hAnsi="Arial" w:cs="Arial"/>
          <w:sz w:val="22"/>
          <w:szCs w:val="22"/>
        </w:rPr>
        <w:t>del</w:t>
      </w:r>
      <w:proofErr w:type="gramEnd"/>
      <w:r>
        <w:rPr>
          <w:rFonts w:ascii="Arial" w:hAnsi="Arial" w:cs="Arial"/>
          <w:sz w:val="22"/>
          <w:szCs w:val="22"/>
        </w:rPr>
        <w:t xml:space="preserve"> Decreto 1595 de 2015, en concordancia con el Decreto 593 de 2017, es necesario expedir el acto administrativo que disponga la permanencia en el ordenamiento jurídico de aquellos reglamentos expedidos hace más de cinco (5) años.</w:t>
      </w:r>
    </w:p>
    <w:p w:rsidR="00F137D5" w:rsidRDefault="00F137D5" w:rsidP="007E6C82">
      <w:pPr>
        <w:pStyle w:val="Textoindependiente3"/>
        <w:spacing w:after="0" w:line="240" w:lineRule="auto"/>
        <w:jc w:val="both"/>
        <w:rPr>
          <w:rFonts w:ascii="Arial" w:hAnsi="Arial" w:cs="Arial"/>
          <w:sz w:val="22"/>
          <w:szCs w:val="22"/>
        </w:rPr>
      </w:pPr>
    </w:p>
    <w:p w:rsidR="00DB0F73" w:rsidRDefault="00966121" w:rsidP="007E6C82">
      <w:pPr>
        <w:pStyle w:val="Textoindependiente3"/>
        <w:spacing w:after="0" w:line="240" w:lineRule="auto"/>
        <w:jc w:val="both"/>
        <w:rPr>
          <w:rFonts w:ascii="Arial" w:hAnsi="Arial" w:cs="Arial"/>
          <w:sz w:val="22"/>
          <w:szCs w:val="22"/>
        </w:rPr>
      </w:pPr>
      <w:r>
        <w:rPr>
          <w:rFonts w:ascii="Arial" w:hAnsi="Arial" w:cs="Arial"/>
          <w:sz w:val="22"/>
          <w:szCs w:val="22"/>
        </w:rPr>
        <w:t>Lo anterior, e</w:t>
      </w:r>
      <w:r w:rsidR="00F137D5">
        <w:rPr>
          <w:rFonts w:ascii="Arial" w:hAnsi="Arial" w:cs="Arial"/>
          <w:sz w:val="22"/>
          <w:szCs w:val="22"/>
        </w:rPr>
        <w:t xml:space="preserve">n cumplimiento de los mencionadas disposiciones y en razón a la tecnicidad que implica el desarrollo </w:t>
      </w:r>
      <w:r w:rsidR="00DB0F73">
        <w:rPr>
          <w:rFonts w:ascii="Arial" w:hAnsi="Arial" w:cs="Arial"/>
          <w:sz w:val="22"/>
          <w:szCs w:val="22"/>
        </w:rPr>
        <w:t xml:space="preserve">de </w:t>
      </w:r>
      <w:r w:rsidR="00F137D5">
        <w:rPr>
          <w:rFonts w:ascii="Arial" w:hAnsi="Arial" w:cs="Arial"/>
          <w:sz w:val="22"/>
          <w:szCs w:val="22"/>
        </w:rPr>
        <w:t xml:space="preserve">la industria de los hidrocarburos, de sus derivados y de los </w:t>
      </w:r>
      <w:r w:rsidR="00D64B49">
        <w:rPr>
          <w:rFonts w:ascii="Arial" w:hAnsi="Arial" w:cs="Arial"/>
          <w:sz w:val="22"/>
          <w:szCs w:val="22"/>
        </w:rPr>
        <w:t>biocombustibles</w:t>
      </w:r>
      <w:r w:rsidR="00F137D5">
        <w:rPr>
          <w:rFonts w:ascii="Arial" w:hAnsi="Arial" w:cs="Arial"/>
          <w:sz w:val="22"/>
          <w:szCs w:val="22"/>
        </w:rPr>
        <w:t>, las cuales requieren la exigencia de par</w:t>
      </w:r>
      <w:r w:rsidR="00DB0F73">
        <w:rPr>
          <w:rFonts w:ascii="Arial" w:hAnsi="Arial" w:cs="Arial"/>
          <w:sz w:val="22"/>
          <w:szCs w:val="22"/>
        </w:rPr>
        <w:t>ámetros estrictos que se rijan por las buenas prácticas, con el fin de lograr el máximo aprovechamiento de los recursos naturales no renovables.</w:t>
      </w:r>
    </w:p>
    <w:p w:rsidR="00DB0F73" w:rsidRDefault="00DB0F73" w:rsidP="007E6C82">
      <w:pPr>
        <w:pStyle w:val="Textoindependiente3"/>
        <w:spacing w:after="0" w:line="240" w:lineRule="auto"/>
        <w:jc w:val="both"/>
        <w:rPr>
          <w:rFonts w:ascii="Arial" w:hAnsi="Arial" w:cs="Arial"/>
          <w:sz w:val="22"/>
          <w:szCs w:val="22"/>
        </w:rPr>
      </w:pPr>
    </w:p>
    <w:p w:rsidR="00F137D5" w:rsidRDefault="00DB0F73" w:rsidP="007E6C82">
      <w:pPr>
        <w:pStyle w:val="Textoindependiente3"/>
        <w:spacing w:after="0" w:line="240" w:lineRule="auto"/>
        <w:jc w:val="both"/>
        <w:rPr>
          <w:rFonts w:ascii="Arial" w:hAnsi="Arial" w:cs="Arial"/>
          <w:sz w:val="22"/>
          <w:szCs w:val="22"/>
        </w:rPr>
      </w:pPr>
      <w:r>
        <w:rPr>
          <w:rFonts w:ascii="Arial" w:hAnsi="Arial" w:cs="Arial"/>
          <w:sz w:val="22"/>
          <w:szCs w:val="22"/>
        </w:rPr>
        <w:t xml:space="preserve">Logrando dicho objetivo consecuentemente se garantiza la obtención de los derivados del petróleo y del gas, necesarios para satisfacer las necesidades básicas de la ciudadanía, cumpliendo adicionalmente con los parámetros de calidad y con el programa de mezclas con los biocombustibles, conforme se encuentra previsto en las leyes 693 de 2003, </w:t>
      </w:r>
      <w:r w:rsidR="0013415F">
        <w:rPr>
          <w:rFonts w:ascii="Arial" w:hAnsi="Arial" w:cs="Arial"/>
          <w:sz w:val="22"/>
          <w:szCs w:val="22"/>
        </w:rPr>
        <w:t>818 de 2003 y 939 de 2004.</w:t>
      </w:r>
    </w:p>
    <w:p w:rsidR="00285C8B" w:rsidRDefault="00285C8B" w:rsidP="007E6C82">
      <w:pPr>
        <w:pStyle w:val="Textoindependiente3"/>
        <w:spacing w:after="0" w:line="240" w:lineRule="auto"/>
        <w:jc w:val="both"/>
        <w:rPr>
          <w:rFonts w:ascii="Arial" w:hAnsi="Arial" w:cs="Arial"/>
          <w:sz w:val="22"/>
          <w:szCs w:val="22"/>
        </w:rPr>
      </w:pPr>
    </w:p>
    <w:p w:rsidR="00285C8B" w:rsidRDefault="00285C8B" w:rsidP="007E6C82">
      <w:pPr>
        <w:pStyle w:val="Textoindependiente3"/>
        <w:spacing w:after="0" w:line="240" w:lineRule="auto"/>
        <w:jc w:val="both"/>
        <w:rPr>
          <w:rFonts w:ascii="Arial" w:hAnsi="Arial" w:cs="Arial"/>
          <w:sz w:val="22"/>
          <w:szCs w:val="22"/>
        </w:rPr>
      </w:pPr>
      <w:r>
        <w:rPr>
          <w:rFonts w:ascii="Arial" w:hAnsi="Arial" w:cs="Arial"/>
          <w:sz w:val="22"/>
          <w:szCs w:val="22"/>
        </w:rPr>
        <w:t>En materia de minería, es de la mayor importancia mantener el reglamento de higiene y seguridad en las labores mineras a cielo abierto con el fin de proteger a las personas en el ejercicio de estas actividades.</w:t>
      </w:r>
    </w:p>
    <w:p w:rsidR="0013415F" w:rsidRDefault="0013415F" w:rsidP="007E6C82">
      <w:pPr>
        <w:pStyle w:val="Textoindependiente3"/>
        <w:spacing w:after="0" w:line="240" w:lineRule="auto"/>
        <w:jc w:val="both"/>
        <w:rPr>
          <w:rFonts w:ascii="Arial" w:hAnsi="Arial" w:cs="Arial"/>
          <w:sz w:val="22"/>
          <w:szCs w:val="22"/>
        </w:rPr>
      </w:pPr>
    </w:p>
    <w:p w:rsidR="0013415F" w:rsidRDefault="0013415F" w:rsidP="007E6C82">
      <w:pPr>
        <w:pStyle w:val="Textoindependiente3"/>
        <w:spacing w:after="0" w:line="240" w:lineRule="auto"/>
        <w:jc w:val="both"/>
        <w:rPr>
          <w:rFonts w:ascii="Arial" w:hAnsi="Arial" w:cs="Arial"/>
          <w:sz w:val="22"/>
          <w:szCs w:val="22"/>
        </w:rPr>
      </w:pPr>
      <w:r>
        <w:rPr>
          <w:rFonts w:ascii="Arial" w:hAnsi="Arial" w:cs="Arial"/>
          <w:sz w:val="22"/>
          <w:szCs w:val="22"/>
        </w:rPr>
        <w:t xml:space="preserve">Por estas razones </w:t>
      </w:r>
      <w:r w:rsidR="00966121">
        <w:rPr>
          <w:rFonts w:ascii="Arial" w:hAnsi="Arial" w:cs="Arial"/>
          <w:sz w:val="22"/>
          <w:szCs w:val="22"/>
        </w:rPr>
        <w:t>y con la finalidad de extender la vigencia de los reglamentos que regulan algunas actividades del sector hidrocarburos</w:t>
      </w:r>
      <w:r w:rsidR="00D64B49">
        <w:rPr>
          <w:rFonts w:ascii="Arial" w:hAnsi="Arial" w:cs="Arial"/>
          <w:sz w:val="22"/>
          <w:szCs w:val="22"/>
        </w:rPr>
        <w:t>, del programa de mezclas de biocombustibles y de minería</w:t>
      </w:r>
      <w:r w:rsidR="00966121">
        <w:rPr>
          <w:rFonts w:ascii="Arial" w:hAnsi="Arial" w:cs="Arial"/>
          <w:sz w:val="22"/>
          <w:szCs w:val="22"/>
        </w:rPr>
        <w:t xml:space="preserve">, </w:t>
      </w:r>
      <w:r>
        <w:rPr>
          <w:rFonts w:ascii="Arial" w:hAnsi="Arial" w:cs="Arial"/>
          <w:sz w:val="22"/>
          <w:szCs w:val="22"/>
        </w:rPr>
        <w:t xml:space="preserve">se dará continuidad a la aplicación de los reglamentos señalados en el acto administrativo hasta tanto se expidan las normas que los modifiquen o sustituyan. </w:t>
      </w:r>
    </w:p>
    <w:p w:rsidR="0013415F" w:rsidRDefault="0013415F" w:rsidP="007E6C82">
      <w:pPr>
        <w:pStyle w:val="Textoindependiente3"/>
        <w:spacing w:after="0" w:line="240" w:lineRule="auto"/>
        <w:jc w:val="both"/>
        <w:rPr>
          <w:rFonts w:ascii="Arial" w:hAnsi="Arial" w:cs="Arial"/>
          <w:sz w:val="22"/>
          <w:szCs w:val="22"/>
        </w:rPr>
      </w:pPr>
    </w:p>
    <w:p w:rsidR="007E6C82" w:rsidRPr="007E6C82" w:rsidRDefault="007E6C82" w:rsidP="007E6C82">
      <w:pPr>
        <w:pStyle w:val="Textoindependiente3"/>
        <w:spacing w:after="0" w:line="240" w:lineRule="auto"/>
        <w:jc w:val="both"/>
        <w:rPr>
          <w:rFonts w:ascii="Arial" w:hAnsi="Arial" w:cs="Arial"/>
          <w:bCs/>
          <w:sz w:val="22"/>
          <w:szCs w:val="22"/>
          <w:lang w:val="es-ES"/>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ÁMBITO DE APLICACIÓN</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 xml:space="preserve">La presente resolución </w:t>
      </w:r>
      <w:r w:rsidR="00ED3A2D">
        <w:rPr>
          <w:rFonts w:cs="Arial"/>
          <w:sz w:val="22"/>
          <w:szCs w:val="22"/>
          <w:lang w:val="es-CO"/>
        </w:rPr>
        <w:t xml:space="preserve">mantendrá la vigencia de las normas que establecen los requisitos para las personas interesadas en desarrollar actividades </w:t>
      </w:r>
      <w:r w:rsidR="0013415F">
        <w:rPr>
          <w:rFonts w:cs="Arial"/>
          <w:sz w:val="22"/>
          <w:szCs w:val="22"/>
          <w:lang w:val="es-CO"/>
        </w:rPr>
        <w:t xml:space="preserve">relacionadas con en la industria de los </w:t>
      </w:r>
      <w:r w:rsidR="00ED3A2D">
        <w:rPr>
          <w:rFonts w:cs="Arial"/>
          <w:sz w:val="22"/>
          <w:szCs w:val="22"/>
          <w:lang w:val="es-CO"/>
        </w:rPr>
        <w:t>hidrocarburos</w:t>
      </w:r>
      <w:r w:rsidR="0013415F">
        <w:rPr>
          <w:rFonts w:cs="Arial"/>
          <w:sz w:val="22"/>
          <w:szCs w:val="22"/>
          <w:lang w:val="es-CO"/>
        </w:rPr>
        <w:t xml:space="preserve">, sus derivados y </w:t>
      </w:r>
      <w:r w:rsidR="00ED3A2D">
        <w:rPr>
          <w:rFonts w:cs="Arial"/>
          <w:sz w:val="22"/>
          <w:szCs w:val="22"/>
          <w:lang w:val="es-CO"/>
        </w:rPr>
        <w:t>con los biocombustibles</w:t>
      </w:r>
      <w:r w:rsidRPr="007E6C82">
        <w:rPr>
          <w:rFonts w:cs="Arial"/>
          <w:sz w:val="22"/>
          <w:szCs w:val="22"/>
        </w:rPr>
        <w:t>.</w:t>
      </w:r>
      <w:r w:rsidRPr="007E6C82">
        <w:rPr>
          <w:rFonts w:cs="Arial"/>
          <w:sz w:val="22"/>
          <w:szCs w:val="22"/>
          <w:lang w:val="es-CO"/>
        </w:rPr>
        <w:t xml:space="preserve"> </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VIABILIDAD JURÍDICA</w:t>
      </w:r>
    </w:p>
    <w:p w:rsidR="007E6C82" w:rsidRPr="007E6C82" w:rsidRDefault="007E6C82" w:rsidP="007E6C82">
      <w:pPr>
        <w:pStyle w:val="Textoindependiente"/>
        <w:rPr>
          <w:rFonts w:cs="Arial"/>
          <w:b/>
          <w:sz w:val="22"/>
          <w:szCs w:val="22"/>
          <w:lang w:val="es-CO"/>
        </w:rPr>
      </w:pPr>
    </w:p>
    <w:p w:rsidR="007E6C82" w:rsidRPr="000C66C5" w:rsidRDefault="007E6C82" w:rsidP="007E6C82">
      <w:pPr>
        <w:pStyle w:val="Textoindependiente"/>
        <w:rPr>
          <w:rFonts w:cs="Arial"/>
          <w:b/>
          <w:sz w:val="22"/>
          <w:szCs w:val="22"/>
          <w:lang w:val="es-CO"/>
        </w:rPr>
      </w:pPr>
      <w:r w:rsidRPr="007E6C82">
        <w:rPr>
          <w:rFonts w:cs="Arial"/>
          <w:b/>
          <w:sz w:val="22"/>
          <w:szCs w:val="22"/>
        </w:rPr>
        <w:t xml:space="preserve">3.1. Análisis expreso y detallado de las normas que otorgan la competencia para la </w:t>
      </w:r>
      <w:r w:rsidRPr="000C66C5">
        <w:rPr>
          <w:rFonts w:cs="Arial"/>
          <w:b/>
          <w:sz w:val="22"/>
          <w:szCs w:val="22"/>
        </w:rPr>
        <w:t>expedición del correspondiente acto</w:t>
      </w:r>
    </w:p>
    <w:p w:rsidR="007E6C82" w:rsidRPr="000C66C5" w:rsidRDefault="007E6C82" w:rsidP="007E6C82">
      <w:pPr>
        <w:autoSpaceDE w:val="0"/>
        <w:autoSpaceDN w:val="0"/>
        <w:adjustRightInd w:val="0"/>
        <w:spacing w:after="0" w:line="240" w:lineRule="auto"/>
        <w:jc w:val="both"/>
        <w:rPr>
          <w:rFonts w:ascii="Arial" w:hAnsi="Arial" w:cs="Arial"/>
        </w:rPr>
      </w:pPr>
    </w:p>
    <w:p w:rsidR="000C66C5" w:rsidRPr="000C66C5" w:rsidRDefault="00966121" w:rsidP="007E6C82">
      <w:pPr>
        <w:autoSpaceDE w:val="0"/>
        <w:autoSpaceDN w:val="0"/>
        <w:adjustRightInd w:val="0"/>
        <w:spacing w:after="0" w:line="240" w:lineRule="auto"/>
        <w:jc w:val="both"/>
        <w:rPr>
          <w:rFonts w:ascii="Arial" w:hAnsi="Arial" w:cs="Arial"/>
          <w:lang w:val="es-ES"/>
        </w:rPr>
      </w:pPr>
      <w:r>
        <w:rPr>
          <w:rFonts w:ascii="Arial" w:hAnsi="Arial" w:cs="Arial"/>
          <w:color w:val="000000"/>
        </w:rPr>
        <w:t xml:space="preserve">El documento </w:t>
      </w:r>
      <w:proofErr w:type="spellStart"/>
      <w:r w:rsidR="000C66C5" w:rsidRPr="000C66C5">
        <w:rPr>
          <w:rFonts w:ascii="Arial" w:hAnsi="Arial" w:cs="Arial"/>
          <w:color w:val="000000"/>
        </w:rPr>
        <w:t>Conpes</w:t>
      </w:r>
      <w:proofErr w:type="spellEnd"/>
      <w:r w:rsidR="000C66C5" w:rsidRPr="000C66C5">
        <w:rPr>
          <w:rFonts w:ascii="Arial" w:hAnsi="Arial" w:cs="Arial"/>
          <w:color w:val="000000"/>
        </w:rPr>
        <w:t xml:space="preserve"> 3446 de 2006 determinó los lineamientos para una política nacional de la calidad tendiente al reconocimiento internacional, a través de la reorganización de la institucionalidad existente en esta materia y del fortalecimiento de las actividades de normalización, acreditación, evaluación de la conformidad, expedición de reglamentos técnicos y metrología. Así, el Subsistema Nacional de la Calidad constituye actualmente un componente fundamental para el efectivo aprovechamiento de los tratados de comercio vigentes, toda vez que permite la inserción de productos colombianos al mercado global, a través del establecimiento de normas y reglamentos técnicos adaptados conforme a las tendencias internacionales. </w:t>
      </w:r>
    </w:p>
    <w:p w:rsidR="000C66C5" w:rsidRPr="000C66C5" w:rsidRDefault="000C66C5" w:rsidP="007E6C82">
      <w:pPr>
        <w:autoSpaceDE w:val="0"/>
        <w:autoSpaceDN w:val="0"/>
        <w:adjustRightInd w:val="0"/>
        <w:spacing w:after="0" w:line="240" w:lineRule="auto"/>
        <w:jc w:val="both"/>
        <w:rPr>
          <w:rFonts w:ascii="Arial" w:hAnsi="Arial" w:cs="Arial"/>
          <w:lang w:val="es-ES"/>
        </w:rPr>
      </w:pPr>
    </w:p>
    <w:p w:rsidR="000C66C5" w:rsidRPr="00D85CC3" w:rsidRDefault="000C66C5" w:rsidP="007E6C82">
      <w:pPr>
        <w:autoSpaceDE w:val="0"/>
        <w:autoSpaceDN w:val="0"/>
        <w:adjustRightInd w:val="0"/>
        <w:spacing w:after="0" w:line="240" w:lineRule="auto"/>
        <w:jc w:val="both"/>
        <w:rPr>
          <w:rFonts w:ascii="Arial" w:hAnsi="Arial" w:cs="Arial"/>
          <w:bCs/>
          <w:color w:val="000000"/>
        </w:rPr>
      </w:pPr>
      <w:r w:rsidRPr="000C66C5">
        <w:rPr>
          <w:rFonts w:ascii="Arial" w:hAnsi="Arial" w:cs="Arial"/>
          <w:lang w:val="es-ES"/>
        </w:rPr>
        <w:t xml:space="preserve">Con el fin de implementar las recomendaciones del mencionado </w:t>
      </w:r>
      <w:proofErr w:type="spellStart"/>
      <w:r w:rsidRPr="000C66C5">
        <w:rPr>
          <w:rFonts w:ascii="Arial" w:hAnsi="Arial" w:cs="Arial"/>
          <w:lang w:val="es-ES"/>
        </w:rPr>
        <w:t>Conpes</w:t>
      </w:r>
      <w:proofErr w:type="spellEnd"/>
      <w:r w:rsidRPr="000C66C5">
        <w:rPr>
          <w:rFonts w:ascii="Arial" w:hAnsi="Arial" w:cs="Arial"/>
          <w:lang w:val="es-ES"/>
        </w:rPr>
        <w:t>, el 5 de agosto de 2015 se expidió el Decreto 1595 “</w:t>
      </w:r>
      <w:r w:rsidRPr="000C66C5">
        <w:rPr>
          <w:rFonts w:ascii="Arial" w:hAnsi="Arial" w:cs="Arial"/>
          <w:bCs/>
          <w:color w:val="000000"/>
        </w:rPr>
        <w:t xml:space="preserve">por el cual se dictan normas relativas al Subsistema Nacional de la Calidad y se modifica el Capítulo VII y la Sección 1 del Capítulo VIII del Título I de la Parte 2 del Libro 2 del Decreto Único </w:t>
      </w:r>
      <w:r w:rsidRPr="00D85CC3">
        <w:rPr>
          <w:rFonts w:ascii="Arial" w:hAnsi="Arial" w:cs="Arial"/>
          <w:bCs/>
          <w:color w:val="000000"/>
        </w:rPr>
        <w:t>Reglamentario del Sector Comercio, Industria y Turismo, Decreto número 1074 de 2015, y se dictan otras disposiciones”.</w:t>
      </w:r>
    </w:p>
    <w:p w:rsidR="000C66C5" w:rsidRPr="00D85CC3" w:rsidRDefault="000C66C5" w:rsidP="007E6C82">
      <w:pPr>
        <w:autoSpaceDE w:val="0"/>
        <w:autoSpaceDN w:val="0"/>
        <w:adjustRightInd w:val="0"/>
        <w:spacing w:after="0" w:line="240" w:lineRule="auto"/>
        <w:jc w:val="both"/>
        <w:rPr>
          <w:rFonts w:ascii="Arial" w:hAnsi="Arial" w:cs="Arial"/>
          <w:bCs/>
          <w:color w:val="000000"/>
        </w:rPr>
      </w:pPr>
    </w:p>
    <w:p w:rsidR="00966121" w:rsidRDefault="00D85CC3" w:rsidP="00D85CC3">
      <w:pPr>
        <w:spacing w:after="0" w:line="254" w:lineRule="atLeast"/>
        <w:jc w:val="both"/>
        <w:rPr>
          <w:rFonts w:ascii="Arial" w:eastAsia="Times New Roman" w:hAnsi="Arial" w:cs="Arial"/>
          <w:color w:val="000000"/>
          <w:lang w:eastAsia="es-CO"/>
        </w:rPr>
      </w:pPr>
      <w:r>
        <w:rPr>
          <w:rFonts w:ascii="Arial" w:eastAsia="Times New Roman" w:hAnsi="Arial" w:cs="Arial"/>
          <w:bCs/>
          <w:color w:val="000000"/>
          <w:lang w:eastAsia="es-CO"/>
        </w:rPr>
        <w:t>L</w:t>
      </w:r>
      <w:r w:rsidRPr="00D85CC3">
        <w:rPr>
          <w:rFonts w:ascii="Arial" w:eastAsia="Times New Roman" w:hAnsi="Arial" w:cs="Arial"/>
          <w:bCs/>
          <w:color w:val="000000"/>
          <w:lang w:eastAsia="es-CO"/>
        </w:rPr>
        <w:t>a Sección 6</w:t>
      </w:r>
      <w:r w:rsidR="00966121">
        <w:rPr>
          <w:rFonts w:ascii="Arial" w:eastAsia="Times New Roman" w:hAnsi="Arial" w:cs="Arial"/>
          <w:bCs/>
          <w:color w:val="000000"/>
          <w:lang w:eastAsia="es-CO"/>
        </w:rPr>
        <w:t xml:space="preserve"> del citado Decreto, que regula la e</w:t>
      </w:r>
      <w:r w:rsidRPr="00D85CC3">
        <w:rPr>
          <w:rFonts w:ascii="Arial" w:eastAsia="Times New Roman" w:hAnsi="Arial" w:cs="Arial"/>
          <w:bCs/>
          <w:color w:val="000000"/>
          <w:lang w:eastAsia="es-CO"/>
        </w:rPr>
        <w:t xml:space="preserve">laboración y expedición de </w:t>
      </w:r>
      <w:r w:rsidR="00966121" w:rsidRPr="00D85CC3">
        <w:rPr>
          <w:rFonts w:ascii="Arial" w:eastAsia="Times New Roman" w:hAnsi="Arial" w:cs="Arial"/>
          <w:bCs/>
          <w:color w:val="000000"/>
          <w:lang w:eastAsia="es-CO"/>
        </w:rPr>
        <w:t>reglamentos</w:t>
      </w:r>
      <w:r w:rsidRPr="00D85CC3">
        <w:rPr>
          <w:rFonts w:ascii="Arial" w:eastAsia="Times New Roman" w:hAnsi="Arial" w:cs="Arial"/>
          <w:bCs/>
          <w:color w:val="000000"/>
          <w:lang w:eastAsia="es-CO"/>
        </w:rPr>
        <w:t xml:space="preserve"> técnicos </w:t>
      </w:r>
      <w:r w:rsidR="00966121">
        <w:rPr>
          <w:rFonts w:ascii="Arial" w:eastAsia="Times New Roman" w:hAnsi="Arial" w:cs="Arial"/>
          <w:bCs/>
          <w:color w:val="000000"/>
          <w:lang w:eastAsia="es-CO"/>
        </w:rPr>
        <w:t xml:space="preserve">dispuso en el </w:t>
      </w:r>
      <w:r w:rsidRPr="00D85CC3">
        <w:rPr>
          <w:rFonts w:ascii="Arial" w:eastAsia="Times New Roman" w:hAnsi="Arial" w:cs="Arial"/>
          <w:bCs/>
          <w:color w:val="000000"/>
          <w:lang w:eastAsia="es-CO"/>
        </w:rPr>
        <w:t>Artículo 2.2.1.7.6.7. </w:t>
      </w:r>
      <w:proofErr w:type="gramStart"/>
      <w:r w:rsidRPr="00D85CC3">
        <w:rPr>
          <w:rFonts w:ascii="Arial" w:eastAsia="Times New Roman" w:hAnsi="Arial" w:cs="Arial"/>
          <w:bCs/>
          <w:color w:val="000000"/>
          <w:lang w:eastAsia="es-CO"/>
        </w:rPr>
        <w:t>que</w:t>
      </w:r>
      <w:proofErr w:type="gramEnd"/>
      <w:r w:rsidRPr="00D85CC3">
        <w:rPr>
          <w:rFonts w:ascii="Arial" w:eastAsia="Times New Roman" w:hAnsi="Arial" w:cs="Arial"/>
          <w:bCs/>
          <w:color w:val="000000"/>
          <w:lang w:eastAsia="es-CO"/>
        </w:rPr>
        <w:t>:</w:t>
      </w:r>
      <w:r w:rsidRPr="00D85CC3">
        <w:rPr>
          <w:rFonts w:ascii="Arial" w:eastAsia="Times New Roman" w:hAnsi="Arial" w:cs="Arial"/>
          <w:color w:val="000000"/>
          <w:lang w:eastAsia="es-CO"/>
        </w:rPr>
        <w:t> </w:t>
      </w:r>
      <w:r w:rsidR="00966121" w:rsidRPr="00966121">
        <w:rPr>
          <w:rFonts w:ascii="Arial" w:eastAsia="Times New Roman" w:hAnsi="Arial" w:cs="Arial"/>
          <w:i/>
          <w:color w:val="000000"/>
          <w:lang w:eastAsia="es-CO"/>
        </w:rPr>
        <w:t>“</w:t>
      </w:r>
      <w:r w:rsidRPr="00D85CC3">
        <w:rPr>
          <w:rFonts w:ascii="Arial" w:eastAsia="Times New Roman" w:hAnsi="Arial" w:cs="Arial"/>
          <w:i/>
          <w:color w:val="000000"/>
          <w:lang w:eastAsia="es-CO"/>
        </w:rPr>
        <w:t>Los reglamentos técnicos expedidos serán sometidos a revisión por parte de la entidad reguladora, con el fin de determinar su permanencia, modificación o derogatoria, por lo menos, una vez cada cinco (5) años, o antes, si cambian las causas que le dieron origen. No serán parte del ordenamiento jurídico los reglamentos técnicos que transcurridos cinco (5) años de su entrada en vigencia no hayan sido revisados y decidida su permanencia o modificación por la entidad que lo expidió.</w:t>
      </w:r>
      <w:r w:rsidR="00966121" w:rsidRPr="00966121">
        <w:rPr>
          <w:rFonts w:ascii="Arial" w:eastAsia="Times New Roman" w:hAnsi="Arial" w:cs="Arial"/>
          <w:i/>
          <w:color w:val="000000"/>
          <w:lang w:eastAsia="es-CO"/>
        </w:rPr>
        <w:t>”</w:t>
      </w:r>
    </w:p>
    <w:p w:rsidR="00966121" w:rsidRDefault="00966121" w:rsidP="00D85CC3">
      <w:pPr>
        <w:spacing w:after="0" w:line="254" w:lineRule="atLeast"/>
        <w:jc w:val="both"/>
        <w:rPr>
          <w:rFonts w:ascii="Arial" w:eastAsia="Times New Roman" w:hAnsi="Arial" w:cs="Arial"/>
          <w:color w:val="000000"/>
          <w:lang w:eastAsia="es-CO"/>
        </w:rPr>
      </w:pPr>
    </w:p>
    <w:p w:rsidR="00D85CC3" w:rsidRPr="00D85CC3" w:rsidRDefault="00966121" w:rsidP="00D85CC3">
      <w:pPr>
        <w:spacing w:after="0" w:line="254" w:lineRule="atLeast"/>
        <w:jc w:val="both"/>
        <w:rPr>
          <w:rFonts w:ascii="Arial" w:eastAsia="Times New Roman" w:hAnsi="Arial" w:cs="Arial"/>
          <w:color w:val="000000"/>
          <w:lang w:eastAsia="es-CO"/>
        </w:rPr>
      </w:pPr>
      <w:r>
        <w:rPr>
          <w:rFonts w:ascii="Arial" w:eastAsia="Times New Roman" w:hAnsi="Arial" w:cs="Arial"/>
          <w:color w:val="000000"/>
          <w:lang w:eastAsia="es-CO"/>
        </w:rPr>
        <w:t xml:space="preserve">En consecuencia, el acto administrativo se expide con base en las facultades señaladas en el artículo 2.2.1.7.6.7. </w:t>
      </w:r>
      <w:proofErr w:type="gramStart"/>
      <w:r>
        <w:rPr>
          <w:rFonts w:ascii="Arial" w:eastAsia="Times New Roman" w:hAnsi="Arial" w:cs="Arial"/>
          <w:color w:val="000000"/>
          <w:lang w:eastAsia="es-CO"/>
        </w:rPr>
        <w:t>del</w:t>
      </w:r>
      <w:proofErr w:type="gramEnd"/>
      <w:r>
        <w:rPr>
          <w:rFonts w:ascii="Arial" w:eastAsia="Times New Roman" w:hAnsi="Arial" w:cs="Arial"/>
          <w:color w:val="000000"/>
          <w:lang w:eastAsia="es-CO"/>
        </w:rPr>
        <w:t xml:space="preserve"> Decreto 1595 de 2015.</w:t>
      </w:r>
      <w:r w:rsidR="00D85CC3" w:rsidRPr="00D85CC3">
        <w:rPr>
          <w:rFonts w:ascii="Arial" w:eastAsia="Times New Roman" w:hAnsi="Arial" w:cs="Arial"/>
          <w:color w:val="000000"/>
          <w:lang w:eastAsia="es-CO"/>
        </w:rPr>
        <w:t> </w:t>
      </w:r>
    </w:p>
    <w:p w:rsidR="000C66C5" w:rsidRPr="000C66C5" w:rsidRDefault="000C66C5" w:rsidP="007E6C82">
      <w:pPr>
        <w:autoSpaceDE w:val="0"/>
        <w:autoSpaceDN w:val="0"/>
        <w:adjustRightInd w:val="0"/>
        <w:spacing w:after="0" w:line="240" w:lineRule="auto"/>
        <w:jc w:val="both"/>
        <w:rPr>
          <w:rFonts w:ascii="Arial" w:hAnsi="Arial" w:cs="Arial"/>
          <w:bCs/>
          <w:color w:val="000000"/>
        </w:rPr>
      </w:pPr>
    </w:p>
    <w:p w:rsidR="000C66C5" w:rsidRPr="000C66C5" w:rsidRDefault="000C66C5" w:rsidP="007E6C82">
      <w:pPr>
        <w:autoSpaceDE w:val="0"/>
        <w:autoSpaceDN w:val="0"/>
        <w:adjustRightInd w:val="0"/>
        <w:spacing w:after="0" w:line="240" w:lineRule="auto"/>
        <w:jc w:val="both"/>
        <w:rPr>
          <w:rFonts w:ascii="Arial" w:hAnsi="Arial" w:cs="Arial"/>
          <w:bCs/>
          <w:color w:val="000000"/>
        </w:rPr>
      </w:pPr>
    </w:p>
    <w:p w:rsidR="007E6C82" w:rsidRPr="007E6C82" w:rsidRDefault="007E6C82" w:rsidP="007E6C82">
      <w:pPr>
        <w:autoSpaceDE w:val="0"/>
        <w:autoSpaceDN w:val="0"/>
        <w:adjustRightInd w:val="0"/>
        <w:spacing w:after="0" w:line="240" w:lineRule="auto"/>
        <w:jc w:val="both"/>
        <w:rPr>
          <w:rFonts w:ascii="Arial" w:hAnsi="Arial" w:cs="Arial"/>
          <w:b/>
        </w:rPr>
      </w:pPr>
      <w:r w:rsidRPr="007E6C82">
        <w:rPr>
          <w:rFonts w:ascii="Arial" w:hAnsi="Arial" w:cs="Arial"/>
          <w:b/>
        </w:rPr>
        <w:t>3.2. La vigencia de la ley o norma reglamentada o desarrollada</w:t>
      </w:r>
    </w:p>
    <w:p w:rsidR="007E6C82" w:rsidRPr="007E6C82" w:rsidRDefault="007E6C82" w:rsidP="007E6C82">
      <w:pPr>
        <w:autoSpaceDE w:val="0"/>
        <w:autoSpaceDN w:val="0"/>
        <w:adjustRightInd w:val="0"/>
        <w:spacing w:after="0" w:line="240" w:lineRule="auto"/>
        <w:jc w:val="both"/>
        <w:rPr>
          <w:rFonts w:ascii="Arial" w:hAnsi="Arial" w:cs="Arial"/>
        </w:rPr>
      </w:pP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Las normas desarrolladas son las siguientes:</w:t>
      </w: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p>
    <w:p w:rsidR="00036D33" w:rsidRDefault="00036D33" w:rsidP="00036D33">
      <w:pPr>
        <w:pStyle w:val="Prrafodelista"/>
        <w:numPr>
          <w:ilvl w:val="0"/>
          <w:numId w:val="3"/>
        </w:numPr>
        <w:rPr>
          <w:rFonts w:ascii="Arial" w:hAnsi="Arial" w:cs="Arial"/>
          <w:lang w:val="es-MX"/>
        </w:rPr>
      </w:pPr>
      <w:r>
        <w:rPr>
          <w:rFonts w:ascii="Arial" w:hAnsi="Arial" w:cs="Arial"/>
          <w:lang w:val="es-MX"/>
        </w:rPr>
        <w:t>A</w:t>
      </w:r>
      <w:r w:rsidR="000806E9" w:rsidRPr="000806E9">
        <w:rPr>
          <w:rFonts w:ascii="Arial" w:hAnsi="Arial" w:cs="Arial"/>
          <w:lang w:val="es-MX"/>
        </w:rPr>
        <w:t>rtículos de la Sección 2 – Distribución de Combustibles, Subsección 2.3 – Distribución de Combustibles Líquidos Derivados del Petróleo, del Decreto Único Reglamentario del Sector Administrativo de Minas y Energía, 1073 de 2015, que contienen los reglamentos técnicos aplicables a las plantas de abastecimiento y a las estaciones de servicio, a través de las cuales se ejerce la distribución de combustibles líquidos.</w:t>
      </w:r>
    </w:p>
    <w:p w:rsidR="00036D33" w:rsidRDefault="00036D33" w:rsidP="00036D33">
      <w:pPr>
        <w:pStyle w:val="Prrafodelista"/>
        <w:rPr>
          <w:rFonts w:ascii="Arial" w:hAnsi="Arial" w:cs="Arial"/>
          <w:lang w:val="es-MX"/>
        </w:rPr>
      </w:pPr>
    </w:p>
    <w:p w:rsidR="00036D33" w:rsidRDefault="00036D33" w:rsidP="00036D33">
      <w:pPr>
        <w:pStyle w:val="Prrafodelista"/>
        <w:numPr>
          <w:ilvl w:val="0"/>
          <w:numId w:val="3"/>
        </w:numPr>
        <w:rPr>
          <w:rFonts w:ascii="Arial" w:hAnsi="Arial" w:cs="Arial"/>
          <w:lang w:val="es-MX"/>
        </w:rPr>
      </w:pPr>
      <w:r w:rsidRPr="00036D33">
        <w:rPr>
          <w:rFonts w:ascii="Arial" w:eastAsia="Times New Roman" w:hAnsi="Arial" w:cs="Arial"/>
          <w:lang w:eastAsia="es-ES"/>
        </w:rPr>
        <w:t xml:space="preserve">Artículos </w:t>
      </w:r>
      <w:r w:rsidRPr="00036D33">
        <w:rPr>
          <w:rFonts w:ascii="Arial" w:hAnsi="Arial" w:cs="Arial"/>
          <w:lang w:val="es-MX"/>
        </w:rPr>
        <w:t>2.2.1.1.2.2,3.111 al 2.2.1.1.2.2,3.117 de la Sección 2 – Distribución de Combustibles, Subsección 2.3 – Distribución de Combustibles Líquidos Derivados del Petróleo, del Decreto Único Reglamentario del Sector Administrativo de Minas y Energía, 1073 de 2015, 2 – Distribución de Combustibles, Subsección 2.3 – Distribución de Combustibles Líquidos Derivados del Petróleo, del Decreto Único Reglamentario del Sector Administrativo de Minas y Energía, 1073 de 2015, que contienen disposiciones aplicables al uso de alcoholes carburantes y biocombustibles para vehículos automotores.</w:t>
      </w:r>
    </w:p>
    <w:p w:rsidR="00036D33" w:rsidRPr="00036D33" w:rsidRDefault="00036D33" w:rsidP="00036D33">
      <w:pPr>
        <w:pStyle w:val="Prrafodelista"/>
        <w:rPr>
          <w:rFonts w:ascii="Arial" w:hAnsi="Arial" w:cs="Arial"/>
          <w:lang w:val="es-MX"/>
        </w:rPr>
      </w:pPr>
    </w:p>
    <w:p w:rsidR="00D55519" w:rsidRPr="00D55519" w:rsidRDefault="00036D33" w:rsidP="00D55519">
      <w:pPr>
        <w:pStyle w:val="Prrafodelista"/>
        <w:numPr>
          <w:ilvl w:val="0"/>
          <w:numId w:val="3"/>
        </w:numPr>
        <w:autoSpaceDE w:val="0"/>
        <w:autoSpaceDN w:val="0"/>
        <w:adjustRightInd w:val="0"/>
        <w:rPr>
          <w:rFonts w:ascii="Arial" w:eastAsia="Times New Roman" w:hAnsi="Arial" w:cs="Arial"/>
          <w:lang w:eastAsia="es-ES"/>
        </w:rPr>
      </w:pPr>
      <w:r w:rsidRPr="00106AD3">
        <w:rPr>
          <w:rFonts w:ascii="Arial" w:hAnsi="Arial" w:cs="Arial"/>
          <w:lang w:val="es-MX"/>
        </w:rPr>
        <w:t xml:space="preserve">Decreto 2222 de 1993, </w:t>
      </w:r>
      <w:r w:rsidRPr="00106AD3">
        <w:rPr>
          <w:rFonts w:ascii="Arial" w:hAnsi="Arial" w:cs="Arial"/>
        </w:rPr>
        <w:t>por el cual se expide el Reglamento de Higiene y Seguridad en las Labores Mineras a Cielo Abierto.</w:t>
      </w:r>
    </w:p>
    <w:p w:rsidR="00D55519" w:rsidRDefault="00D55519" w:rsidP="007E6C82">
      <w:pPr>
        <w:autoSpaceDE w:val="0"/>
        <w:autoSpaceDN w:val="0"/>
        <w:adjustRightInd w:val="0"/>
        <w:spacing w:after="0" w:line="240" w:lineRule="auto"/>
        <w:jc w:val="both"/>
        <w:rPr>
          <w:rFonts w:ascii="Arial" w:eastAsia="Times New Roman" w:hAnsi="Arial" w:cs="Arial"/>
          <w:lang w:eastAsia="es-ES"/>
        </w:rPr>
      </w:pPr>
    </w:p>
    <w:p w:rsidR="00D55519" w:rsidRPr="007E6C82" w:rsidRDefault="00D55519" w:rsidP="007E6C82">
      <w:pPr>
        <w:autoSpaceDE w:val="0"/>
        <w:autoSpaceDN w:val="0"/>
        <w:adjustRightInd w:val="0"/>
        <w:spacing w:after="0" w:line="240" w:lineRule="auto"/>
        <w:jc w:val="both"/>
        <w:rPr>
          <w:rFonts w:ascii="Arial" w:hAnsi="Arial" w:cs="Arial"/>
        </w:rPr>
      </w:pPr>
    </w:p>
    <w:p w:rsidR="007E6C82" w:rsidRPr="007E6C82" w:rsidRDefault="007E6C82" w:rsidP="007E6C82">
      <w:pPr>
        <w:autoSpaceDE w:val="0"/>
        <w:autoSpaceDN w:val="0"/>
        <w:adjustRightInd w:val="0"/>
        <w:spacing w:after="0" w:line="240" w:lineRule="auto"/>
        <w:jc w:val="both"/>
        <w:rPr>
          <w:rFonts w:ascii="Arial" w:hAnsi="Arial" w:cs="Arial"/>
          <w:b/>
        </w:rPr>
      </w:pPr>
      <w:r w:rsidRPr="007E6C82">
        <w:rPr>
          <w:rFonts w:ascii="Arial" w:hAnsi="Arial" w:cs="Arial"/>
          <w:b/>
        </w:rPr>
        <w:t>3.3. Las disposiciones derogadas, subrogadas, modificadas, adicionadas o sustituidas, si alguno de estos efectos se produce con la expedición del respectivo acto</w:t>
      </w:r>
    </w:p>
    <w:p w:rsidR="007E6C82" w:rsidRPr="007E6C82" w:rsidRDefault="007E6C82" w:rsidP="007E6C82">
      <w:pPr>
        <w:shd w:val="clear" w:color="auto" w:fill="FFFFFF"/>
        <w:spacing w:after="0" w:line="240" w:lineRule="auto"/>
        <w:jc w:val="both"/>
        <w:rPr>
          <w:rFonts w:ascii="Arial" w:eastAsia="Times New Roman" w:hAnsi="Arial" w:cs="Arial"/>
          <w:color w:val="222222"/>
          <w:lang w:eastAsia="es-CO"/>
        </w:rPr>
      </w:pPr>
      <w:r w:rsidRPr="007E6C82">
        <w:rPr>
          <w:rFonts w:ascii="Arial" w:eastAsia="Times New Roman" w:hAnsi="Arial" w:cs="Arial"/>
          <w:color w:val="222222"/>
          <w:lang w:eastAsia="es-CO"/>
        </w:rPr>
        <w:t> </w:t>
      </w:r>
    </w:p>
    <w:p w:rsidR="007E6C82" w:rsidRPr="007E6C82" w:rsidRDefault="003C1580" w:rsidP="007E6C82">
      <w:pPr>
        <w:tabs>
          <w:tab w:val="left" w:pos="9498"/>
        </w:tabs>
        <w:spacing w:after="0" w:line="240" w:lineRule="auto"/>
        <w:jc w:val="both"/>
        <w:rPr>
          <w:rFonts w:ascii="Arial" w:hAnsi="Arial" w:cs="Arial"/>
          <w:color w:val="000000"/>
        </w:rPr>
      </w:pPr>
      <w:r>
        <w:rPr>
          <w:rFonts w:ascii="Arial" w:hAnsi="Arial" w:cs="Arial"/>
          <w:color w:val="000000"/>
        </w:rPr>
        <w:t xml:space="preserve">Con la expedición de </w:t>
      </w:r>
      <w:r w:rsidR="00036D33">
        <w:rPr>
          <w:rFonts w:ascii="Arial" w:hAnsi="Arial" w:cs="Arial"/>
          <w:color w:val="000000"/>
        </w:rPr>
        <w:t>este decreto</w:t>
      </w:r>
      <w:r>
        <w:rPr>
          <w:rFonts w:ascii="Arial" w:hAnsi="Arial" w:cs="Arial"/>
          <w:color w:val="000000"/>
        </w:rPr>
        <w:t>, l</w:t>
      </w:r>
      <w:r w:rsidR="00D55519">
        <w:rPr>
          <w:rFonts w:ascii="Arial" w:hAnsi="Arial" w:cs="Arial"/>
          <w:color w:val="000000"/>
        </w:rPr>
        <w:t xml:space="preserve">as </w:t>
      </w:r>
      <w:r w:rsidR="00036D33">
        <w:rPr>
          <w:rFonts w:ascii="Arial" w:hAnsi="Arial" w:cs="Arial"/>
          <w:color w:val="000000"/>
        </w:rPr>
        <w:t xml:space="preserve">disposiciones </w:t>
      </w:r>
      <w:r w:rsidR="00D55519">
        <w:rPr>
          <w:rFonts w:ascii="Arial" w:hAnsi="Arial" w:cs="Arial"/>
          <w:color w:val="000000"/>
        </w:rPr>
        <w:t xml:space="preserve">relacionadas en el numeral 3.2. </w:t>
      </w:r>
      <w:proofErr w:type="gramStart"/>
      <w:r w:rsidR="00D55519">
        <w:rPr>
          <w:rFonts w:ascii="Arial" w:hAnsi="Arial" w:cs="Arial"/>
          <w:color w:val="000000"/>
        </w:rPr>
        <w:t>de</w:t>
      </w:r>
      <w:proofErr w:type="gramEnd"/>
      <w:r w:rsidR="00D55519">
        <w:rPr>
          <w:rFonts w:ascii="Arial" w:hAnsi="Arial" w:cs="Arial"/>
          <w:color w:val="000000"/>
        </w:rPr>
        <w:t xml:space="preserve"> la presente memoria justificativa </w:t>
      </w:r>
      <w:r>
        <w:rPr>
          <w:rFonts w:ascii="Arial" w:hAnsi="Arial" w:cs="Arial"/>
          <w:color w:val="000000"/>
        </w:rPr>
        <w:t>mantendrán su vigencia hasta tanto se expidan las normas que las modifiquen</w:t>
      </w:r>
      <w:r w:rsidR="00966121">
        <w:rPr>
          <w:rFonts w:ascii="Arial" w:hAnsi="Arial" w:cs="Arial"/>
          <w:color w:val="000000"/>
        </w:rPr>
        <w:t xml:space="preserve"> o sustituyan</w:t>
      </w:r>
      <w:r w:rsidR="007E6C82" w:rsidRPr="007E6C82">
        <w:rPr>
          <w:rFonts w:ascii="Arial" w:hAnsi="Arial" w:cs="Arial"/>
          <w:color w:val="000000"/>
        </w:rPr>
        <w:t xml:space="preserve">. </w:t>
      </w:r>
    </w:p>
    <w:p w:rsidR="007E6C82" w:rsidRPr="007E6C82" w:rsidRDefault="007E6C82" w:rsidP="007E6C82">
      <w:pPr>
        <w:tabs>
          <w:tab w:val="left" w:pos="9498"/>
        </w:tabs>
        <w:spacing w:after="0" w:line="240" w:lineRule="auto"/>
        <w:jc w:val="both"/>
        <w:rPr>
          <w:rFonts w:ascii="Arial" w:hAnsi="Arial" w:cs="Arial"/>
          <w:color w:val="000000"/>
        </w:rPr>
      </w:pPr>
    </w:p>
    <w:p w:rsidR="007E6C82" w:rsidRPr="007E6C82" w:rsidRDefault="007E6C82" w:rsidP="007E6C82">
      <w:pPr>
        <w:spacing w:after="0" w:line="240" w:lineRule="auto"/>
        <w:jc w:val="both"/>
        <w:rPr>
          <w:rFonts w:ascii="Arial" w:eastAsia="Times New Roman" w:hAnsi="Arial" w:cs="Arial"/>
          <w:b/>
          <w:color w:val="222222"/>
          <w:lang w:eastAsia="es-CO"/>
        </w:rPr>
      </w:pPr>
      <w:r w:rsidRPr="007E6C82">
        <w:rPr>
          <w:rFonts w:ascii="Arial" w:hAnsi="Arial" w:cs="Arial"/>
          <w:b/>
        </w:rPr>
        <w:t>3.3. Revisión y análisis de decisiones judiciales de los órganos de cierre de cada jurisdicción que pudieren tener impacto o ser relevantes para la expedición del acto.</w:t>
      </w:r>
    </w:p>
    <w:p w:rsidR="007E6C82" w:rsidRPr="007E6C82" w:rsidRDefault="007E6C82" w:rsidP="007E6C82">
      <w:pPr>
        <w:shd w:val="clear" w:color="auto" w:fill="FFFFFF"/>
        <w:spacing w:after="0" w:line="240" w:lineRule="auto"/>
        <w:jc w:val="both"/>
        <w:rPr>
          <w:rFonts w:ascii="Arial" w:hAnsi="Arial" w:cs="Arial"/>
        </w:rPr>
      </w:pPr>
    </w:p>
    <w:p w:rsidR="003C1580" w:rsidRDefault="007E6C82" w:rsidP="007E6C82">
      <w:pPr>
        <w:shd w:val="clear" w:color="auto" w:fill="FFFFFF"/>
        <w:spacing w:after="0" w:line="240" w:lineRule="auto"/>
        <w:jc w:val="both"/>
        <w:rPr>
          <w:rFonts w:ascii="Arial" w:hAnsi="Arial" w:cs="Arial"/>
        </w:rPr>
      </w:pPr>
      <w:r w:rsidRPr="007E6C82">
        <w:rPr>
          <w:rFonts w:ascii="Arial" w:hAnsi="Arial" w:cs="Arial"/>
        </w:rPr>
        <w:t xml:space="preserve">De acuerdo con revisión efectuada por el Coordinador del Grupo de Defensa Judicial de la Oficina Asesora Jurídica, se verificó que no existen decisiones judiciales </w:t>
      </w:r>
      <w:r w:rsidR="003C1580">
        <w:rPr>
          <w:rFonts w:ascii="Arial" w:hAnsi="Arial" w:cs="Arial"/>
        </w:rPr>
        <w:t>en razón a que es el primer acto  que se expide relacionado con la extensión de la vigencia de normas que contienen reglamentos.</w:t>
      </w:r>
    </w:p>
    <w:p w:rsidR="007E6C82" w:rsidRPr="007E6C82" w:rsidRDefault="007E6C82" w:rsidP="007E6C82">
      <w:pPr>
        <w:shd w:val="clear" w:color="auto" w:fill="FFFFFF"/>
        <w:spacing w:after="0" w:line="240" w:lineRule="auto"/>
        <w:jc w:val="both"/>
        <w:rPr>
          <w:rFonts w:ascii="Arial" w:hAnsi="Arial" w:cs="Arial"/>
        </w:rPr>
      </w:pPr>
    </w:p>
    <w:p w:rsidR="007E6C82" w:rsidRPr="007E6C82" w:rsidRDefault="007E6C82" w:rsidP="007E6C82">
      <w:pPr>
        <w:numPr>
          <w:ilvl w:val="0"/>
          <w:numId w:val="1"/>
        </w:numPr>
        <w:spacing w:after="0" w:line="240" w:lineRule="auto"/>
        <w:ind w:left="426" w:hanging="426"/>
        <w:jc w:val="both"/>
        <w:rPr>
          <w:rFonts w:ascii="Arial" w:hAnsi="Arial" w:cs="Arial"/>
          <w:b/>
        </w:rPr>
      </w:pPr>
      <w:r w:rsidRPr="007E6C82">
        <w:rPr>
          <w:rFonts w:ascii="Arial" w:hAnsi="Arial" w:cs="Arial"/>
          <w:b/>
        </w:rPr>
        <w:t>IMPACTO ECONÓMICO</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tabs>
          <w:tab w:val="left" w:pos="284"/>
        </w:tabs>
        <w:rPr>
          <w:rFonts w:eastAsia="Arial" w:cs="Arial"/>
          <w:color w:val="000000"/>
          <w:sz w:val="22"/>
          <w:szCs w:val="22"/>
          <w:lang w:val="es-CO" w:eastAsia="en-US"/>
        </w:rPr>
      </w:pPr>
      <w:r w:rsidRPr="007E6C82">
        <w:rPr>
          <w:rFonts w:eastAsia="Arial" w:cs="Arial"/>
          <w:color w:val="000000"/>
          <w:sz w:val="22"/>
          <w:szCs w:val="22"/>
          <w:lang w:val="es-CO" w:eastAsia="en-US"/>
        </w:rPr>
        <w:t>La disposición que se pretende no tiene incidencia sobre la libre competencia, ni genera un impacto económico alguno a considerar.</w:t>
      </w:r>
    </w:p>
    <w:p w:rsidR="007E6C82" w:rsidRPr="007E6C82" w:rsidRDefault="007E6C82" w:rsidP="007E6C82">
      <w:pPr>
        <w:pStyle w:val="Textoindependiente"/>
        <w:tabs>
          <w:tab w:val="left" w:pos="284"/>
        </w:tabs>
        <w:ind w:left="720"/>
        <w:rPr>
          <w:rFonts w:cs="Arial"/>
          <w:sz w:val="22"/>
          <w:szCs w:val="22"/>
          <w:lang w:val="es-CO" w:eastAsia="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sz w:val="22"/>
          <w:szCs w:val="22"/>
          <w:lang w:val="es-CO"/>
        </w:rPr>
        <w:t xml:space="preserve"> </w:t>
      </w:r>
      <w:r w:rsidRPr="007E6C82">
        <w:rPr>
          <w:rFonts w:cs="Arial"/>
          <w:b/>
          <w:sz w:val="22"/>
          <w:szCs w:val="22"/>
          <w:lang w:val="es-CO"/>
        </w:rPr>
        <w:t>DISPONIBILIDAD PRESUPUESTAL</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 xml:space="preserve">No aplica en razón a la finalidad del </w:t>
      </w:r>
      <w:r w:rsidR="007E1E8A">
        <w:rPr>
          <w:rFonts w:cs="Arial"/>
          <w:sz w:val="22"/>
          <w:szCs w:val="22"/>
          <w:lang w:val="es-CO"/>
        </w:rPr>
        <w:t>acto administrativo</w:t>
      </w:r>
      <w:r w:rsidRPr="007E6C82">
        <w:rPr>
          <w:rFonts w:cs="Arial"/>
          <w:sz w:val="22"/>
          <w:szCs w:val="22"/>
          <w:lang w:val="es-CO"/>
        </w:rPr>
        <w:t>.</w:t>
      </w:r>
    </w:p>
    <w:p w:rsidR="007E6C82" w:rsidRPr="007E6C82" w:rsidRDefault="007E6C82" w:rsidP="007E6C82">
      <w:pPr>
        <w:pStyle w:val="Textoindependiente"/>
        <w:rPr>
          <w:rFonts w:cs="Arial"/>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IMPACTO MEDIO AMBIENTAL O SOBRE EL PATRIMONIO CULTURAL</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 xml:space="preserve">No aplica, en razón de la finalidad del </w:t>
      </w:r>
      <w:r w:rsidR="007E1E8A">
        <w:rPr>
          <w:rFonts w:cs="Arial"/>
          <w:sz w:val="22"/>
          <w:szCs w:val="22"/>
          <w:lang w:val="es-CO"/>
        </w:rPr>
        <w:t>acto administrativo</w:t>
      </w:r>
      <w:r w:rsidRPr="007E6C82">
        <w:rPr>
          <w:rFonts w:cs="Arial"/>
          <w:sz w:val="22"/>
          <w:szCs w:val="22"/>
          <w:lang w:val="es-CO"/>
        </w:rPr>
        <w:t xml:space="preserve">. </w:t>
      </w:r>
    </w:p>
    <w:p w:rsidR="007E6C82" w:rsidRPr="007E6C82" w:rsidRDefault="007E6C82" w:rsidP="007E6C82">
      <w:pPr>
        <w:spacing w:after="0" w:line="240" w:lineRule="auto"/>
        <w:ind w:left="360"/>
        <w:jc w:val="both"/>
        <w:rPr>
          <w:rFonts w:ascii="Arial" w:hAnsi="Arial" w:cs="Arial"/>
          <w:b/>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CONSULTA</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rPr>
          <w:rFonts w:cs="Arial"/>
          <w:sz w:val="22"/>
          <w:szCs w:val="22"/>
          <w:lang w:val="es-CO"/>
        </w:rPr>
      </w:pPr>
      <w:r w:rsidRPr="007E6C82">
        <w:rPr>
          <w:rFonts w:cs="Arial"/>
          <w:sz w:val="22"/>
          <w:szCs w:val="22"/>
          <w:lang w:val="es-CO"/>
        </w:rPr>
        <w:t>No procede teniendo en cuenta que el proyecto no genera impacto alguno respecto de las comunidades indígenas y demás minorías reconocidas constitucional y legalmente.</w:t>
      </w:r>
    </w:p>
    <w:p w:rsidR="007E6C82" w:rsidRPr="007E6C82" w:rsidRDefault="007E6C82" w:rsidP="007E6C82">
      <w:pPr>
        <w:pStyle w:val="Textoindependiente"/>
        <w:rPr>
          <w:rFonts w:cs="Arial"/>
          <w:b/>
          <w:sz w:val="22"/>
          <w:szCs w:val="22"/>
          <w:lang w:val="es-CO"/>
        </w:rPr>
      </w:pPr>
    </w:p>
    <w:p w:rsidR="007E6C82" w:rsidRPr="007E6C82" w:rsidRDefault="007E6C82" w:rsidP="007E6C82">
      <w:pPr>
        <w:pStyle w:val="Textoindependiente"/>
        <w:numPr>
          <w:ilvl w:val="0"/>
          <w:numId w:val="1"/>
        </w:numPr>
        <w:ind w:left="426" w:hanging="426"/>
        <w:rPr>
          <w:rFonts w:cs="Arial"/>
          <w:b/>
          <w:sz w:val="22"/>
          <w:szCs w:val="22"/>
          <w:lang w:val="es-CO"/>
        </w:rPr>
      </w:pPr>
      <w:r w:rsidRPr="007E6C82">
        <w:rPr>
          <w:rFonts w:cs="Arial"/>
          <w:b/>
          <w:sz w:val="22"/>
          <w:szCs w:val="22"/>
          <w:lang w:val="es-CO"/>
        </w:rPr>
        <w:t>PUBLICIDAD</w:t>
      </w:r>
    </w:p>
    <w:p w:rsidR="007E6C82" w:rsidRPr="007E6C82" w:rsidRDefault="007E6C82" w:rsidP="007E6C82">
      <w:pPr>
        <w:pStyle w:val="Prrafodelista"/>
        <w:spacing w:before="0"/>
        <w:ind w:left="0"/>
        <w:rPr>
          <w:rFonts w:ascii="Arial" w:hAnsi="Arial" w:cs="Arial"/>
          <w:b/>
        </w:rPr>
      </w:pPr>
    </w:p>
    <w:p w:rsidR="00E525ED" w:rsidRDefault="007E6C82" w:rsidP="007E6C82">
      <w:pPr>
        <w:spacing w:after="0" w:line="240" w:lineRule="auto"/>
        <w:jc w:val="both"/>
        <w:rPr>
          <w:rFonts w:ascii="Arial" w:hAnsi="Arial" w:cs="Arial"/>
          <w:color w:val="000000"/>
        </w:rPr>
      </w:pPr>
      <w:r w:rsidRPr="007E6C82">
        <w:rPr>
          <w:rFonts w:ascii="Arial" w:hAnsi="Arial" w:cs="Arial"/>
          <w:color w:val="000000"/>
        </w:rPr>
        <w:t xml:space="preserve">El proyecto de resolución fue publicado para comentarios en la página web del Ministerio de Minas y Energía entre </w:t>
      </w:r>
      <w:r w:rsidR="00E525ED">
        <w:rPr>
          <w:rFonts w:ascii="Arial" w:hAnsi="Arial" w:cs="Arial"/>
          <w:color w:val="000000"/>
        </w:rPr>
        <w:t xml:space="preserve">los días </w:t>
      </w:r>
      <w:r w:rsidR="003C1580">
        <w:rPr>
          <w:rFonts w:ascii="Arial" w:hAnsi="Arial" w:cs="Arial"/>
          <w:color w:val="000000"/>
        </w:rPr>
        <w:t xml:space="preserve">12 </w:t>
      </w:r>
      <w:r w:rsidR="00E525ED">
        <w:rPr>
          <w:rFonts w:ascii="Arial" w:hAnsi="Arial" w:cs="Arial"/>
          <w:color w:val="000000"/>
        </w:rPr>
        <w:t>al el 1</w:t>
      </w:r>
      <w:r w:rsidR="00610461">
        <w:rPr>
          <w:rFonts w:ascii="Arial" w:hAnsi="Arial" w:cs="Arial"/>
          <w:color w:val="000000"/>
        </w:rPr>
        <w:t>7</w:t>
      </w:r>
      <w:r w:rsidR="00E525ED">
        <w:rPr>
          <w:rFonts w:ascii="Arial" w:hAnsi="Arial" w:cs="Arial"/>
          <w:color w:val="000000"/>
        </w:rPr>
        <w:t xml:space="preserve"> de diciembre de 2018, </w:t>
      </w:r>
      <w:r w:rsidR="003C1580">
        <w:rPr>
          <w:rFonts w:ascii="Arial" w:hAnsi="Arial" w:cs="Arial"/>
          <w:color w:val="000000"/>
        </w:rPr>
        <w:t>teniendo en cuenta la autorización de la Señora Ministra de Minas y Energía</w:t>
      </w:r>
      <w:r w:rsidR="00E525ED">
        <w:rPr>
          <w:rFonts w:ascii="Arial" w:hAnsi="Arial" w:cs="Arial"/>
          <w:color w:val="000000"/>
        </w:rPr>
        <w:t>, en atención a lo señalado en el inciso 2 del numeral 2 del artículo 2 de la Resolución 4 1304 de 2017.</w:t>
      </w:r>
    </w:p>
    <w:p w:rsidR="007E6C82" w:rsidRPr="007E6C82" w:rsidRDefault="007E6C82" w:rsidP="007E6C82">
      <w:pPr>
        <w:tabs>
          <w:tab w:val="left" w:pos="1935"/>
        </w:tabs>
        <w:spacing w:after="0" w:line="240" w:lineRule="auto"/>
        <w:ind w:left="720"/>
        <w:jc w:val="both"/>
        <w:rPr>
          <w:rFonts w:ascii="Arial" w:hAnsi="Arial" w:cs="Arial"/>
          <w:color w:val="000000"/>
        </w:rPr>
      </w:pPr>
      <w:r w:rsidRPr="007E6C82">
        <w:rPr>
          <w:rFonts w:ascii="Arial" w:hAnsi="Arial" w:cs="Arial"/>
          <w:color w:val="000000"/>
        </w:rPr>
        <w:tab/>
      </w:r>
    </w:p>
    <w:p w:rsidR="007E6C82" w:rsidRPr="007E6C82" w:rsidRDefault="007E6C82" w:rsidP="00756037">
      <w:pPr>
        <w:numPr>
          <w:ilvl w:val="0"/>
          <w:numId w:val="1"/>
        </w:numPr>
        <w:spacing w:after="0" w:line="240" w:lineRule="auto"/>
        <w:ind w:left="284" w:hanging="284"/>
        <w:jc w:val="both"/>
        <w:rPr>
          <w:rFonts w:ascii="Arial" w:hAnsi="Arial" w:cs="Arial"/>
          <w:b/>
          <w:color w:val="000000"/>
        </w:rPr>
      </w:pPr>
      <w:r w:rsidRPr="007E6C82">
        <w:rPr>
          <w:rFonts w:ascii="Arial" w:hAnsi="Arial" w:cs="Arial"/>
          <w:b/>
          <w:color w:val="000000"/>
        </w:rPr>
        <w:t xml:space="preserve">MATRIZ </w:t>
      </w:r>
      <w:r w:rsidR="00E525ED">
        <w:rPr>
          <w:rFonts w:ascii="Arial" w:hAnsi="Arial" w:cs="Arial"/>
          <w:b/>
          <w:color w:val="000000"/>
        </w:rPr>
        <w:t xml:space="preserve">E INFORME GLOBAL CON LAS </w:t>
      </w:r>
      <w:r w:rsidRPr="007E6C82">
        <w:rPr>
          <w:rFonts w:ascii="Arial" w:hAnsi="Arial" w:cs="Arial"/>
          <w:b/>
          <w:color w:val="000000"/>
        </w:rPr>
        <w:t>OBSERVACIONES Y COMENTARIOS</w:t>
      </w:r>
      <w:r w:rsidR="00E525ED">
        <w:rPr>
          <w:rFonts w:ascii="Arial" w:hAnsi="Arial" w:cs="Arial"/>
          <w:b/>
          <w:color w:val="000000"/>
        </w:rPr>
        <w:t xml:space="preserve"> DE LA CIUDADANÍA</w:t>
      </w:r>
    </w:p>
    <w:p w:rsidR="007E6C82" w:rsidRPr="007E6C82" w:rsidRDefault="007E6C82" w:rsidP="007E6C82">
      <w:pPr>
        <w:spacing w:after="0" w:line="240" w:lineRule="auto"/>
        <w:jc w:val="both"/>
        <w:rPr>
          <w:rFonts w:ascii="Arial" w:hAnsi="Arial" w:cs="Arial"/>
          <w:color w:val="000000"/>
        </w:rPr>
      </w:pPr>
    </w:p>
    <w:p w:rsidR="00E525ED" w:rsidRDefault="00E525ED" w:rsidP="007E6C82">
      <w:pPr>
        <w:spacing w:after="0" w:line="240" w:lineRule="auto"/>
        <w:jc w:val="both"/>
        <w:rPr>
          <w:rFonts w:ascii="Arial" w:hAnsi="Arial" w:cs="Arial"/>
          <w:color w:val="000000"/>
        </w:rPr>
      </w:pPr>
      <w:r>
        <w:rPr>
          <w:rFonts w:ascii="Arial" w:hAnsi="Arial" w:cs="Arial"/>
          <w:color w:val="000000"/>
        </w:rPr>
        <w:t>PENDIENTE POR DILIGENCIAR</w:t>
      </w:r>
      <w:r w:rsidR="00966121">
        <w:rPr>
          <w:rFonts w:ascii="Arial" w:hAnsi="Arial" w:cs="Arial"/>
          <w:color w:val="000000"/>
        </w:rPr>
        <w:t xml:space="preserve"> UNA VEZ SE TERMINE LA PUBLICACIÓN DEL PROYECTO</w:t>
      </w:r>
      <w:r>
        <w:rPr>
          <w:rFonts w:ascii="Arial" w:hAnsi="Arial" w:cs="Arial"/>
          <w:color w:val="000000"/>
        </w:rPr>
        <w:t>.</w:t>
      </w:r>
    </w:p>
    <w:p w:rsidR="007E6C82" w:rsidRPr="007E6C82" w:rsidRDefault="007E6C82" w:rsidP="007E6C82">
      <w:pPr>
        <w:spacing w:after="0" w:line="240" w:lineRule="auto"/>
        <w:jc w:val="both"/>
        <w:rPr>
          <w:rFonts w:ascii="Arial" w:hAnsi="Arial" w:cs="Arial"/>
        </w:rPr>
      </w:pPr>
    </w:p>
    <w:p w:rsidR="00756037" w:rsidRPr="00756037" w:rsidRDefault="00756037" w:rsidP="00756037">
      <w:pPr>
        <w:pStyle w:val="Textoindependiente"/>
        <w:rPr>
          <w:rFonts w:eastAsiaTheme="minorHAnsi" w:cs="Arial"/>
          <w:color w:val="000000"/>
          <w:sz w:val="22"/>
          <w:szCs w:val="22"/>
          <w:lang w:val="es-CO" w:eastAsia="en-US"/>
        </w:rPr>
      </w:pPr>
    </w:p>
    <w:p w:rsidR="007E6C82" w:rsidRPr="007E6C82" w:rsidRDefault="007E6C82" w:rsidP="007E6C82">
      <w:pPr>
        <w:spacing w:after="0" w:line="240" w:lineRule="auto"/>
        <w:jc w:val="both"/>
        <w:rPr>
          <w:rFonts w:ascii="Arial" w:hAnsi="Arial" w:cs="Arial"/>
        </w:rPr>
      </w:pPr>
      <w:r w:rsidRPr="007E6C82">
        <w:rPr>
          <w:rFonts w:ascii="Arial" w:hAnsi="Arial" w:cs="Arial"/>
        </w:rPr>
        <w:t xml:space="preserve">La presente memoria justificativa se expide el </w:t>
      </w:r>
      <w:r w:rsidR="007E1E8A">
        <w:rPr>
          <w:rFonts w:ascii="Arial" w:hAnsi="Arial" w:cs="Arial"/>
        </w:rPr>
        <w:t xml:space="preserve">xxx </w:t>
      </w:r>
      <w:r w:rsidRPr="007E6C82">
        <w:rPr>
          <w:rFonts w:ascii="Arial" w:hAnsi="Arial" w:cs="Arial"/>
        </w:rPr>
        <w:t>por el Director de Hidrocarburos y la viabilidad jurídica cuenta con la revisión y visto bueno del Jefe de la Oficina Asesora Jurídica.</w:t>
      </w:r>
    </w:p>
    <w:p w:rsidR="007E6C82" w:rsidRPr="007E6C82" w:rsidRDefault="007E6C82" w:rsidP="007E6C82">
      <w:pPr>
        <w:spacing w:after="0" w:line="240" w:lineRule="auto"/>
        <w:jc w:val="both"/>
        <w:rPr>
          <w:rFonts w:ascii="Arial" w:hAnsi="Arial" w:cs="Arial"/>
        </w:rPr>
      </w:pPr>
    </w:p>
    <w:p w:rsidR="007E6C82" w:rsidRDefault="007E6C82" w:rsidP="007E6C82">
      <w:pPr>
        <w:spacing w:after="0" w:line="240" w:lineRule="auto"/>
        <w:jc w:val="both"/>
        <w:rPr>
          <w:rFonts w:ascii="Arial" w:hAnsi="Arial" w:cs="Arial"/>
        </w:rPr>
      </w:pPr>
    </w:p>
    <w:p w:rsidR="003E2CDA" w:rsidRDefault="003E2CDA" w:rsidP="007E6C82">
      <w:pPr>
        <w:spacing w:after="0" w:line="240" w:lineRule="auto"/>
        <w:jc w:val="both"/>
        <w:rPr>
          <w:rFonts w:ascii="Arial" w:hAnsi="Arial" w:cs="Arial"/>
        </w:rPr>
      </w:pPr>
    </w:p>
    <w:p w:rsidR="00C510D0" w:rsidRPr="007E6C82" w:rsidRDefault="00C510D0" w:rsidP="007E6C82">
      <w:pPr>
        <w:spacing w:after="0" w:line="240" w:lineRule="auto"/>
        <w:jc w:val="both"/>
        <w:rPr>
          <w:rFonts w:ascii="Arial" w:hAnsi="Arial" w:cs="Arial"/>
        </w:rPr>
      </w:pPr>
      <w:bookmarkStart w:id="0" w:name="_GoBack"/>
      <w:bookmarkEnd w:id="0"/>
    </w:p>
    <w:p w:rsidR="007E6C82" w:rsidRPr="007E6C82" w:rsidRDefault="007E6C82" w:rsidP="007E6C82">
      <w:pPr>
        <w:spacing w:after="0" w:line="240" w:lineRule="auto"/>
        <w:jc w:val="both"/>
        <w:rPr>
          <w:rFonts w:ascii="Arial" w:hAnsi="Arial" w:cs="Arial"/>
        </w:rPr>
      </w:pPr>
    </w:p>
    <w:p w:rsidR="007E6C82" w:rsidRPr="007E6C82" w:rsidRDefault="007E6C82" w:rsidP="007E6C82">
      <w:pPr>
        <w:spacing w:after="0" w:line="240" w:lineRule="auto"/>
        <w:jc w:val="both"/>
        <w:rPr>
          <w:rFonts w:ascii="Arial" w:hAnsi="Arial" w:cs="Arial"/>
        </w:rPr>
      </w:pPr>
    </w:p>
    <w:p w:rsidR="007E6C82" w:rsidRPr="007E6C82" w:rsidRDefault="00E525ED" w:rsidP="007E6C82">
      <w:pPr>
        <w:spacing w:after="0" w:line="240" w:lineRule="auto"/>
        <w:jc w:val="both"/>
        <w:rPr>
          <w:rFonts w:ascii="Arial" w:hAnsi="Arial" w:cs="Arial"/>
          <w:b/>
        </w:rPr>
      </w:pPr>
      <w:r>
        <w:rPr>
          <w:rFonts w:ascii="Arial" w:hAnsi="Arial" w:cs="Arial"/>
          <w:b/>
        </w:rPr>
        <w:t>JOSÉ MANUEL MORENO CASALLAS</w:t>
      </w:r>
    </w:p>
    <w:p w:rsidR="007E6C82" w:rsidRPr="007E6C82" w:rsidRDefault="007E6C82" w:rsidP="007E6C82">
      <w:pPr>
        <w:spacing w:after="0" w:line="240" w:lineRule="auto"/>
        <w:ind w:left="4248" w:hanging="4248"/>
        <w:jc w:val="both"/>
        <w:rPr>
          <w:rFonts w:ascii="Arial" w:hAnsi="Arial" w:cs="Arial"/>
        </w:rPr>
      </w:pPr>
      <w:r w:rsidRPr="007E6C82">
        <w:rPr>
          <w:rFonts w:ascii="Arial" w:hAnsi="Arial" w:cs="Arial"/>
        </w:rPr>
        <w:t>Director de Hidrocarburos</w:t>
      </w:r>
      <w:r w:rsidR="00E525ED">
        <w:rPr>
          <w:rFonts w:ascii="Arial" w:hAnsi="Arial" w:cs="Arial"/>
        </w:rPr>
        <w:t xml:space="preserve"> (E)</w:t>
      </w:r>
    </w:p>
    <w:p w:rsidR="007E6C82" w:rsidRPr="007E6C82" w:rsidRDefault="007E6C82" w:rsidP="007E6C82">
      <w:pPr>
        <w:spacing w:after="0" w:line="240" w:lineRule="auto"/>
        <w:jc w:val="both"/>
        <w:rPr>
          <w:rFonts w:ascii="Arial" w:hAnsi="Arial" w:cs="Arial"/>
        </w:rPr>
      </w:pPr>
    </w:p>
    <w:p w:rsidR="007E6C82" w:rsidRPr="007E6C82" w:rsidRDefault="007E6C82" w:rsidP="007E6C82">
      <w:pPr>
        <w:spacing w:after="0" w:line="240" w:lineRule="auto"/>
        <w:jc w:val="both"/>
        <w:rPr>
          <w:rFonts w:ascii="Arial" w:hAnsi="Arial" w:cs="Arial"/>
          <w:sz w:val="16"/>
          <w:szCs w:val="16"/>
        </w:rPr>
      </w:pPr>
      <w:r w:rsidRPr="007E6C82">
        <w:rPr>
          <w:rFonts w:ascii="Arial" w:hAnsi="Arial" w:cs="Arial"/>
          <w:sz w:val="16"/>
          <w:szCs w:val="16"/>
        </w:rPr>
        <w:t xml:space="preserve">Proyectó: </w:t>
      </w:r>
      <w:r w:rsidR="00E525ED">
        <w:rPr>
          <w:rFonts w:ascii="Arial" w:hAnsi="Arial" w:cs="Arial"/>
          <w:sz w:val="16"/>
          <w:szCs w:val="16"/>
        </w:rPr>
        <w:t>Yolanda Patiño Chacón</w:t>
      </w:r>
    </w:p>
    <w:p w:rsidR="007E6C82" w:rsidRPr="007E6C82" w:rsidRDefault="007E6C82" w:rsidP="00656F3B">
      <w:pPr>
        <w:spacing w:after="0" w:line="240" w:lineRule="auto"/>
        <w:ind w:left="709" w:hanging="709"/>
        <w:jc w:val="both"/>
        <w:rPr>
          <w:rFonts w:ascii="Arial" w:hAnsi="Arial" w:cs="Arial"/>
          <w:sz w:val="16"/>
          <w:szCs w:val="16"/>
        </w:rPr>
      </w:pPr>
      <w:r w:rsidRPr="007E6C82">
        <w:rPr>
          <w:rFonts w:ascii="Arial" w:hAnsi="Arial" w:cs="Arial"/>
          <w:sz w:val="16"/>
          <w:szCs w:val="16"/>
        </w:rPr>
        <w:t xml:space="preserve">Revisó: </w:t>
      </w:r>
      <w:r w:rsidR="00656F3B">
        <w:rPr>
          <w:rFonts w:ascii="Arial" w:hAnsi="Arial" w:cs="Arial"/>
          <w:sz w:val="16"/>
          <w:szCs w:val="16"/>
        </w:rPr>
        <w:tab/>
      </w:r>
      <w:r w:rsidR="00E525ED">
        <w:rPr>
          <w:rFonts w:ascii="Arial" w:hAnsi="Arial" w:cs="Arial"/>
          <w:sz w:val="16"/>
          <w:szCs w:val="16"/>
        </w:rPr>
        <w:t xml:space="preserve">Alejandra Nohemí Rodríguez, Jorge Orlando Sánchez, </w:t>
      </w:r>
      <w:r w:rsidRPr="007E6C82">
        <w:rPr>
          <w:rFonts w:ascii="Arial" w:hAnsi="Arial" w:cs="Arial"/>
          <w:sz w:val="16"/>
          <w:szCs w:val="16"/>
        </w:rPr>
        <w:t>Óscar Omar Gómez Calderón</w:t>
      </w:r>
      <w:r w:rsidR="00E525ED">
        <w:rPr>
          <w:rFonts w:ascii="Arial" w:hAnsi="Arial" w:cs="Arial"/>
          <w:sz w:val="16"/>
          <w:szCs w:val="16"/>
        </w:rPr>
        <w:t xml:space="preserve">, Laura Victoria </w:t>
      </w:r>
      <w:proofErr w:type="spellStart"/>
      <w:r w:rsidR="00E525ED">
        <w:rPr>
          <w:rFonts w:ascii="Arial" w:hAnsi="Arial" w:cs="Arial"/>
          <w:sz w:val="16"/>
          <w:szCs w:val="16"/>
        </w:rPr>
        <w:t>Bechara</w:t>
      </w:r>
      <w:proofErr w:type="spellEnd"/>
      <w:r w:rsidR="00E525ED">
        <w:rPr>
          <w:rFonts w:ascii="Arial" w:hAnsi="Arial" w:cs="Arial"/>
          <w:sz w:val="16"/>
          <w:szCs w:val="16"/>
        </w:rPr>
        <w:t xml:space="preserve"> Arciniegas</w:t>
      </w:r>
    </w:p>
    <w:p w:rsidR="009C48B3" w:rsidRPr="007E6C82" w:rsidRDefault="007E6C82" w:rsidP="003E2CDA">
      <w:pPr>
        <w:spacing w:after="0" w:line="240" w:lineRule="auto"/>
        <w:jc w:val="both"/>
        <w:rPr>
          <w:rFonts w:ascii="Arial" w:hAnsi="Arial" w:cs="Arial"/>
          <w:sz w:val="16"/>
          <w:szCs w:val="16"/>
        </w:rPr>
      </w:pPr>
      <w:r w:rsidRPr="007E6C82">
        <w:rPr>
          <w:rFonts w:ascii="Arial" w:hAnsi="Arial" w:cs="Arial"/>
          <w:sz w:val="16"/>
          <w:szCs w:val="16"/>
        </w:rPr>
        <w:t xml:space="preserve">Aprobó: </w:t>
      </w:r>
      <w:r w:rsidR="00656F3B">
        <w:rPr>
          <w:rFonts w:ascii="Arial" w:hAnsi="Arial" w:cs="Arial"/>
          <w:sz w:val="16"/>
          <w:szCs w:val="16"/>
        </w:rPr>
        <w:tab/>
      </w:r>
      <w:r w:rsidR="00E525ED">
        <w:rPr>
          <w:rFonts w:ascii="Arial" w:hAnsi="Arial" w:cs="Arial"/>
          <w:sz w:val="16"/>
          <w:szCs w:val="16"/>
        </w:rPr>
        <w:t xml:space="preserve">José Manuel Moreno </w:t>
      </w:r>
      <w:proofErr w:type="spellStart"/>
      <w:r w:rsidR="00E525ED">
        <w:rPr>
          <w:rFonts w:ascii="Arial" w:hAnsi="Arial" w:cs="Arial"/>
          <w:sz w:val="16"/>
          <w:szCs w:val="16"/>
        </w:rPr>
        <w:t>Casallas</w:t>
      </w:r>
      <w:proofErr w:type="spellEnd"/>
      <w:r w:rsidR="00E525ED">
        <w:rPr>
          <w:rFonts w:ascii="Arial" w:hAnsi="Arial" w:cs="Arial"/>
          <w:sz w:val="16"/>
          <w:szCs w:val="16"/>
        </w:rPr>
        <w:t xml:space="preserve"> </w:t>
      </w:r>
    </w:p>
    <w:sectPr w:rsidR="009C48B3" w:rsidRPr="007E6C82" w:rsidSect="00D12A53">
      <w:headerReference w:type="default" r:id="rId7"/>
      <w:footerReference w:type="default" r:id="rId8"/>
      <w:pgSz w:w="12240" w:h="15840" w:code="1"/>
      <w:pgMar w:top="1701" w:right="1418" w:bottom="1134" w:left="1418" w:header="1531"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142" w:rsidRDefault="00EB6142">
      <w:pPr>
        <w:spacing w:after="0" w:line="240" w:lineRule="auto"/>
      </w:pPr>
      <w:r>
        <w:separator/>
      </w:r>
    </w:p>
  </w:endnote>
  <w:endnote w:type="continuationSeparator" w:id="0">
    <w:p w:rsidR="00EB6142" w:rsidRDefault="00EB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7B2" w:rsidRPr="006437B2" w:rsidRDefault="00FE1100" w:rsidP="006437B2">
    <w:pPr>
      <w:pStyle w:val="Piedepgina"/>
      <w:tabs>
        <w:tab w:val="clear" w:pos="4419"/>
      </w:tabs>
      <w:jc w:val="right"/>
      <w:rPr>
        <w:rFonts w:ascii="Arial" w:hAnsi="Arial" w:cs="Arial"/>
        <w:sz w:val="20"/>
        <w:szCs w:val="20"/>
      </w:rPr>
    </w:pPr>
    <w:r w:rsidRPr="006437B2">
      <w:rPr>
        <w:rFonts w:ascii="Arial" w:hAnsi="Arial" w:cs="Arial"/>
        <w:sz w:val="20"/>
        <w:szCs w:val="20"/>
      </w:rPr>
      <w:t xml:space="preserve">Página </w:t>
    </w:r>
    <w:r w:rsidRPr="006437B2">
      <w:rPr>
        <w:rFonts w:ascii="Arial" w:hAnsi="Arial" w:cs="Arial"/>
        <w:sz w:val="20"/>
        <w:szCs w:val="20"/>
      </w:rPr>
      <w:fldChar w:fldCharType="begin"/>
    </w:r>
    <w:r w:rsidRPr="006437B2">
      <w:rPr>
        <w:rFonts w:ascii="Arial" w:hAnsi="Arial" w:cs="Arial"/>
        <w:sz w:val="20"/>
        <w:szCs w:val="20"/>
      </w:rPr>
      <w:instrText xml:space="preserve"> PAGE  \* Arabic  \* MERGEFORMAT </w:instrText>
    </w:r>
    <w:r w:rsidRPr="006437B2">
      <w:rPr>
        <w:rFonts w:ascii="Arial" w:hAnsi="Arial" w:cs="Arial"/>
        <w:sz w:val="20"/>
        <w:szCs w:val="20"/>
      </w:rPr>
      <w:fldChar w:fldCharType="separate"/>
    </w:r>
    <w:r w:rsidR="00C510D0">
      <w:rPr>
        <w:rFonts w:ascii="Arial" w:hAnsi="Arial" w:cs="Arial"/>
        <w:noProof/>
        <w:sz w:val="20"/>
        <w:szCs w:val="20"/>
      </w:rPr>
      <w:t>4</w:t>
    </w:r>
    <w:r w:rsidRPr="006437B2">
      <w:rPr>
        <w:rFonts w:ascii="Arial" w:hAnsi="Arial" w:cs="Arial"/>
        <w:sz w:val="20"/>
        <w:szCs w:val="20"/>
      </w:rPr>
      <w:fldChar w:fldCharType="end"/>
    </w:r>
    <w:r w:rsidRPr="006437B2">
      <w:rPr>
        <w:rFonts w:ascii="Arial" w:hAnsi="Arial" w:cs="Arial"/>
        <w:sz w:val="20"/>
        <w:szCs w:val="20"/>
      </w:rPr>
      <w:t xml:space="preserve"> de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NUMPAGES  \* Arabic  \* MERGEFORMAT </w:instrText>
    </w:r>
    <w:r>
      <w:rPr>
        <w:rFonts w:ascii="Arial" w:hAnsi="Arial" w:cs="Arial"/>
        <w:sz w:val="20"/>
        <w:szCs w:val="20"/>
      </w:rPr>
      <w:fldChar w:fldCharType="separate"/>
    </w:r>
    <w:r w:rsidR="00C510D0">
      <w:rPr>
        <w:rFonts w:ascii="Arial" w:hAnsi="Arial" w:cs="Arial"/>
        <w:noProof/>
        <w:sz w:val="20"/>
        <w:szCs w:val="20"/>
      </w:rPr>
      <w:t>5</w:t>
    </w:r>
    <w:r>
      <w:rPr>
        <w:rFonts w:ascii="Arial" w:hAnsi="Arial" w:cs="Arial"/>
        <w:sz w:val="20"/>
        <w:szCs w:val="20"/>
      </w:rPr>
      <w:fldChar w:fldCharType="end"/>
    </w:r>
  </w:p>
  <w:p w:rsidR="004A4BFE" w:rsidRDefault="00FE1100" w:rsidP="006A1018">
    <w:pPr>
      <w:pStyle w:val="Piedepgina"/>
      <w:jc w:val="center"/>
    </w:pPr>
    <w:r>
      <w:rPr>
        <w:noProof/>
        <w:sz w:val="20"/>
        <w:szCs w:val="20"/>
        <w:lang w:eastAsia="es-CO"/>
      </w:rPr>
      <w:drawing>
        <wp:anchor distT="0" distB="0" distL="114300" distR="114300" simplePos="0" relativeHeight="251659264" behindDoc="1" locked="0" layoutInCell="1" allowOverlap="1" wp14:anchorId="16073B17" wp14:editId="2E728C5E">
          <wp:simplePos x="0" y="0"/>
          <wp:positionH relativeFrom="page">
            <wp:align>center</wp:align>
          </wp:positionH>
          <wp:positionV relativeFrom="page">
            <wp:align>bottom</wp:align>
          </wp:positionV>
          <wp:extent cx="7747200" cy="945524"/>
          <wp:effectExtent l="0" t="0" r="635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47200" cy="9455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142" w:rsidRDefault="00EB6142">
      <w:pPr>
        <w:spacing w:after="0" w:line="240" w:lineRule="auto"/>
      </w:pPr>
      <w:r>
        <w:separator/>
      </w:r>
    </w:p>
  </w:footnote>
  <w:footnote w:type="continuationSeparator" w:id="0">
    <w:p w:rsidR="00EB6142" w:rsidRDefault="00EB6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FC1" w:rsidRDefault="00FE1100" w:rsidP="004A4BFE">
    <w:pPr>
      <w:pStyle w:val="Encabezado"/>
      <w:jc w:val="center"/>
    </w:pPr>
    <w:r>
      <w:rPr>
        <w:noProof/>
        <w:lang w:eastAsia="es-CO"/>
      </w:rPr>
      <w:drawing>
        <wp:anchor distT="0" distB="0" distL="114300" distR="114300" simplePos="0" relativeHeight="251660288" behindDoc="0" locked="0" layoutInCell="1" allowOverlap="1" wp14:anchorId="3C5F54EC" wp14:editId="3049B08F">
          <wp:simplePos x="0" y="0"/>
          <wp:positionH relativeFrom="margin">
            <wp:align>left</wp:align>
          </wp:positionH>
          <wp:positionV relativeFrom="paragraph">
            <wp:posOffset>-561340</wp:posOffset>
          </wp:positionV>
          <wp:extent cx="3599815" cy="493395"/>
          <wp:effectExtent l="0" t="0" r="635" b="1905"/>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9815" cy="493395"/>
                  </a:xfrm>
                  <a:prstGeom prst="rect">
                    <a:avLst/>
                  </a:prstGeom>
                </pic:spPr>
              </pic:pic>
            </a:graphicData>
          </a:graphic>
          <wp14:sizeRelH relativeFrom="page">
            <wp14:pctWidth>0</wp14:pctWidth>
          </wp14:sizeRelH>
          <wp14:sizeRelV relativeFrom="page">
            <wp14:pctHeight>0</wp14:pctHeight>
          </wp14:sizeRelV>
        </wp:anchor>
      </w:drawing>
    </w:r>
  </w:p>
  <w:p w:rsidR="00CD6908" w:rsidRPr="00966328" w:rsidRDefault="00C510D0"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A6422"/>
    <w:multiLevelType w:val="multilevel"/>
    <w:tmpl w:val="77A8C5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731C98"/>
    <w:multiLevelType w:val="hybridMultilevel"/>
    <w:tmpl w:val="FDBA8BEA"/>
    <w:lvl w:ilvl="0" w:tplc="0CF46F76">
      <w:start w:val="1"/>
      <w:numFmt w:val="decimal"/>
      <w:lvlText w:val="%1."/>
      <w:lvlJc w:val="left"/>
      <w:pPr>
        <w:ind w:left="720" w:hanging="360"/>
      </w:pPr>
      <w:rPr>
        <w:rFonts w:hint="default"/>
        <w:b/>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F454108"/>
    <w:multiLevelType w:val="hybridMultilevel"/>
    <w:tmpl w:val="0F3CBE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82"/>
    <w:rsid w:val="00036D33"/>
    <w:rsid w:val="000777A4"/>
    <w:rsid w:val="000806E9"/>
    <w:rsid w:val="000C66C5"/>
    <w:rsid w:val="0013415F"/>
    <w:rsid w:val="00186B39"/>
    <w:rsid w:val="00285C8B"/>
    <w:rsid w:val="00326F4F"/>
    <w:rsid w:val="003527F3"/>
    <w:rsid w:val="003C1580"/>
    <w:rsid w:val="003C19D1"/>
    <w:rsid w:val="003E2CDA"/>
    <w:rsid w:val="004224A1"/>
    <w:rsid w:val="0048706F"/>
    <w:rsid w:val="004A4917"/>
    <w:rsid w:val="005A029C"/>
    <w:rsid w:val="00610461"/>
    <w:rsid w:val="00617112"/>
    <w:rsid w:val="00656F3B"/>
    <w:rsid w:val="006711B9"/>
    <w:rsid w:val="00756037"/>
    <w:rsid w:val="007C1DA2"/>
    <w:rsid w:val="007E1E8A"/>
    <w:rsid w:val="007E6C82"/>
    <w:rsid w:val="008C6E74"/>
    <w:rsid w:val="00966121"/>
    <w:rsid w:val="009C48B3"/>
    <w:rsid w:val="009F3B4F"/>
    <w:rsid w:val="00A40EF9"/>
    <w:rsid w:val="00B409DD"/>
    <w:rsid w:val="00BB0B19"/>
    <w:rsid w:val="00C510D0"/>
    <w:rsid w:val="00C567B0"/>
    <w:rsid w:val="00CA1C93"/>
    <w:rsid w:val="00CC3AFC"/>
    <w:rsid w:val="00D55519"/>
    <w:rsid w:val="00D64B49"/>
    <w:rsid w:val="00D85CC3"/>
    <w:rsid w:val="00DB0F73"/>
    <w:rsid w:val="00E00F9E"/>
    <w:rsid w:val="00E525ED"/>
    <w:rsid w:val="00E75C2B"/>
    <w:rsid w:val="00EA60BC"/>
    <w:rsid w:val="00EB6142"/>
    <w:rsid w:val="00ED3A2D"/>
    <w:rsid w:val="00F1209B"/>
    <w:rsid w:val="00F137D5"/>
    <w:rsid w:val="00FA0BAE"/>
    <w:rsid w:val="00FD18CD"/>
    <w:rsid w:val="00FE11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1D091-FED2-426E-B023-4E853C63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C8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C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C82"/>
  </w:style>
  <w:style w:type="paragraph" w:styleId="Piedepgina">
    <w:name w:val="footer"/>
    <w:basedOn w:val="Normal"/>
    <w:link w:val="PiedepginaCar"/>
    <w:uiPriority w:val="99"/>
    <w:unhideWhenUsed/>
    <w:rsid w:val="007E6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C82"/>
  </w:style>
  <w:style w:type="paragraph" w:styleId="Textoindependiente">
    <w:name w:val="Body Text"/>
    <w:basedOn w:val="Normal"/>
    <w:link w:val="TextoindependienteCar"/>
    <w:rsid w:val="007E6C8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7E6C82"/>
    <w:rPr>
      <w:rFonts w:ascii="Arial" w:eastAsia="Times New Roman" w:hAnsi="Arial" w:cs="Times New Roman"/>
      <w:sz w:val="24"/>
      <w:szCs w:val="20"/>
      <w:lang w:val="es-ES_tradnl" w:eastAsia="es-ES"/>
    </w:rPr>
  </w:style>
  <w:style w:type="paragraph" w:styleId="Textoindependiente3">
    <w:name w:val="Body Text 3"/>
    <w:basedOn w:val="Normal"/>
    <w:link w:val="Textoindependiente3Car"/>
    <w:uiPriority w:val="99"/>
    <w:semiHidden/>
    <w:unhideWhenUsed/>
    <w:rsid w:val="007E6C8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E6C82"/>
    <w:rPr>
      <w:sz w:val="16"/>
      <w:szCs w:val="16"/>
    </w:rPr>
  </w:style>
  <w:style w:type="paragraph" w:styleId="Prrafodelista">
    <w:name w:val="List Paragraph"/>
    <w:basedOn w:val="Normal"/>
    <w:uiPriority w:val="34"/>
    <w:qFormat/>
    <w:rsid w:val="007E6C82"/>
    <w:pPr>
      <w:spacing w:before="120" w:after="0" w:line="240" w:lineRule="auto"/>
      <w:ind w:left="720"/>
      <w:contextualSpacing/>
      <w:jc w:val="both"/>
    </w:pPr>
    <w:rPr>
      <w:rFonts w:ascii="Calibri" w:eastAsia="Calibri" w:hAnsi="Calibri" w:cs="Times New Roman"/>
    </w:rPr>
  </w:style>
  <w:style w:type="paragraph" w:styleId="NormalWeb">
    <w:name w:val="Normal (Web)"/>
    <w:basedOn w:val="Normal"/>
    <w:uiPriority w:val="99"/>
    <w:unhideWhenUsed/>
    <w:rsid w:val="007E6C8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uiPriority w:val="99"/>
    <w:unhideWhenUsed/>
    <w:rsid w:val="007E6C82"/>
    <w:rPr>
      <w:sz w:val="16"/>
      <w:szCs w:val="16"/>
    </w:rPr>
  </w:style>
  <w:style w:type="paragraph" w:styleId="Textocomentario">
    <w:name w:val="annotation text"/>
    <w:basedOn w:val="Normal"/>
    <w:link w:val="TextocomentarioCar"/>
    <w:uiPriority w:val="99"/>
    <w:unhideWhenUsed/>
    <w:rsid w:val="007E6C82"/>
    <w:rPr>
      <w:rFonts w:ascii="Arial" w:eastAsia="Arial" w:hAnsi="Arial" w:cs="Times New Roman"/>
      <w:sz w:val="20"/>
      <w:szCs w:val="20"/>
      <w:lang w:val="x-none"/>
    </w:rPr>
  </w:style>
  <w:style w:type="character" w:customStyle="1" w:styleId="TextocomentarioCar">
    <w:name w:val="Texto comentario Car"/>
    <w:basedOn w:val="Fuentedeprrafopredeter"/>
    <w:link w:val="Textocomentario"/>
    <w:uiPriority w:val="99"/>
    <w:rsid w:val="007E6C82"/>
    <w:rPr>
      <w:rFonts w:ascii="Arial" w:eastAsia="Arial" w:hAnsi="Arial" w:cs="Times New Roman"/>
      <w:sz w:val="20"/>
      <w:szCs w:val="20"/>
      <w:lang w:val="x-none"/>
    </w:rPr>
  </w:style>
  <w:style w:type="paragraph" w:styleId="Textodeglobo">
    <w:name w:val="Balloon Text"/>
    <w:basedOn w:val="Normal"/>
    <w:link w:val="TextodegloboCar"/>
    <w:uiPriority w:val="99"/>
    <w:semiHidden/>
    <w:unhideWhenUsed/>
    <w:rsid w:val="007E6C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C82"/>
    <w:rPr>
      <w:rFonts w:ascii="Segoe UI" w:hAnsi="Segoe UI" w:cs="Segoe UI"/>
      <w:sz w:val="18"/>
      <w:szCs w:val="18"/>
    </w:rPr>
  </w:style>
  <w:style w:type="character" w:styleId="Textoennegrita">
    <w:name w:val="Strong"/>
    <w:basedOn w:val="Fuentedeprrafopredeter"/>
    <w:uiPriority w:val="22"/>
    <w:qFormat/>
    <w:rsid w:val="00D85CC3"/>
    <w:rPr>
      <w:b/>
      <w:bCs/>
    </w:rPr>
  </w:style>
  <w:style w:type="character" w:styleId="nfasis">
    <w:name w:val="Emphasis"/>
    <w:basedOn w:val="Fuentedeprrafopredeter"/>
    <w:uiPriority w:val="20"/>
    <w:qFormat/>
    <w:rsid w:val="00D85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3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1602</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Herrera Bermudez</dc:creator>
  <cp:keywords/>
  <dc:description/>
  <cp:lastModifiedBy>Yolanda Patino Chacon</cp:lastModifiedBy>
  <cp:revision>6</cp:revision>
  <dcterms:created xsi:type="dcterms:W3CDTF">2018-12-12T16:54:00Z</dcterms:created>
  <dcterms:modified xsi:type="dcterms:W3CDTF">2018-12-12T19:57:00Z</dcterms:modified>
</cp:coreProperties>
</file>