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4122A" w14:textId="77777777" w:rsidR="00BF7103" w:rsidRDefault="00BF7103" w:rsidP="004C634F">
      <w:pPr>
        <w:pStyle w:val="Textoindependiente"/>
        <w:jc w:val="center"/>
        <w:rPr>
          <w:rFonts w:cs="Arial"/>
          <w:b/>
          <w:sz w:val="22"/>
          <w:szCs w:val="22"/>
          <w:lang w:val="es-CO"/>
        </w:rPr>
      </w:pPr>
    </w:p>
    <w:p w14:paraId="02499FE4" w14:textId="77777777" w:rsidR="00BF7103" w:rsidRDefault="00BF7103" w:rsidP="004C634F">
      <w:pPr>
        <w:pStyle w:val="Textoindependiente"/>
        <w:jc w:val="center"/>
        <w:rPr>
          <w:rFonts w:cs="Arial"/>
          <w:b/>
          <w:sz w:val="22"/>
          <w:szCs w:val="22"/>
          <w:lang w:val="es-CO"/>
        </w:rPr>
      </w:pPr>
    </w:p>
    <w:p w14:paraId="5D879E01" w14:textId="77777777" w:rsidR="00416702" w:rsidRDefault="00416702" w:rsidP="004C634F">
      <w:pPr>
        <w:pStyle w:val="Textoindependiente"/>
        <w:jc w:val="center"/>
        <w:rPr>
          <w:rFonts w:cs="Arial"/>
          <w:b/>
          <w:sz w:val="22"/>
          <w:szCs w:val="22"/>
          <w:lang w:val="es-CO"/>
        </w:rPr>
      </w:pPr>
      <w:r>
        <w:rPr>
          <w:rFonts w:cs="Arial"/>
          <w:b/>
          <w:sz w:val="22"/>
          <w:szCs w:val="22"/>
          <w:lang w:val="es-CO"/>
        </w:rPr>
        <w:t>MEMORIA JUSTIFICATIVA</w:t>
      </w:r>
    </w:p>
    <w:p w14:paraId="36C584B4" w14:textId="77777777" w:rsidR="00416702" w:rsidRDefault="00416702" w:rsidP="004C634F">
      <w:pPr>
        <w:pStyle w:val="Textoindependiente"/>
        <w:jc w:val="center"/>
        <w:rPr>
          <w:rFonts w:cs="Arial"/>
          <w:b/>
          <w:sz w:val="22"/>
          <w:szCs w:val="22"/>
          <w:lang w:val="es-CO"/>
        </w:rPr>
      </w:pPr>
    </w:p>
    <w:p w14:paraId="5280ACEE" w14:textId="77777777" w:rsidR="00416702" w:rsidRDefault="00416702" w:rsidP="004C634F">
      <w:pPr>
        <w:pStyle w:val="Textoindependiente"/>
        <w:jc w:val="center"/>
        <w:rPr>
          <w:rFonts w:cs="Arial"/>
          <w:b/>
          <w:sz w:val="22"/>
          <w:szCs w:val="22"/>
          <w:lang w:val="es-CO"/>
        </w:rPr>
      </w:pPr>
    </w:p>
    <w:p w14:paraId="2D770180" w14:textId="77777777" w:rsidR="00D5445E" w:rsidRPr="005B213C" w:rsidRDefault="008B342E" w:rsidP="004C634F">
      <w:pPr>
        <w:pStyle w:val="Textoindependiente"/>
        <w:jc w:val="center"/>
        <w:rPr>
          <w:rFonts w:cs="Arial"/>
          <w:b/>
          <w:sz w:val="22"/>
          <w:szCs w:val="22"/>
          <w:lang w:val="es-CO"/>
        </w:rPr>
      </w:pPr>
      <w:r w:rsidRPr="005B213C">
        <w:rPr>
          <w:rFonts w:cs="Arial"/>
          <w:b/>
          <w:sz w:val="22"/>
          <w:szCs w:val="22"/>
          <w:lang w:val="es-CO"/>
        </w:rPr>
        <w:t xml:space="preserve">PROYECTO DE </w:t>
      </w:r>
      <w:r w:rsidR="00A30F0A" w:rsidRPr="005B213C">
        <w:rPr>
          <w:rFonts w:cs="Arial"/>
          <w:b/>
          <w:sz w:val="22"/>
          <w:szCs w:val="22"/>
          <w:lang w:val="es-CO"/>
        </w:rPr>
        <w:t>RESOLUCIÓN</w:t>
      </w:r>
    </w:p>
    <w:p w14:paraId="49815993" w14:textId="77777777" w:rsidR="00530E6E" w:rsidRPr="005B213C" w:rsidRDefault="00530E6E" w:rsidP="004C634F">
      <w:pPr>
        <w:pStyle w:val="Textoindependiente3"/>
        <w:spacing w:after="0"/>
        <w:jc w:val="both"/>
        <w:rPr>
          <w:rFonts w:ascii="Arial" w:hAnsi="Arial" w:cs="Arial"/>
          <w:sz w:val="22"/>
          <w:szCs w:val="22"/>
        </w:rPr>
      </w:pPr>
    </w:p>
    <w:p w14:paraId="02564096" w14:textId="77777777" w:rsidR="004604DA" w:rsidRPr="005B213C" w:rsidRDefault="008806C4" w:rsidP="000D7630">
      <w:pPr>
        <w:pStyle w:val="NormalWeb"/>
        <w:spacing w:before="0" w:beforeAutospacing="0" w:after="0" w:afterAutospacing="0"/>
        <w:jc w:val="center"/>
        <w:rPr>
          <w:rFonts w:ascii="Arial" w:hAnsi="Arial" w:cs="Arial"/>
          <w:sz w:val="22"/>
          <w:szCs w:val="22"/>
          <w:lang w:val="es-ES"/>
        </w:rPr>
      </w:pPr>
      <w:r w:rsidRPr="005B213C">
        <w:rPr>
          <w:rFonts w:ascii="Arial" w:hAnsi="Arial" w:cs="Arial"/>
          <w:i/>
          <w:sz w:val="22"/>
          <w:szCs w:val="22"/>
        </w:rPr>
        <w:t>“</w:t>
      </w:r>
      <w:r w:rsidR="006B04AF" w:rsidRPr="006B04AF">
        <w:rPr>
          <w:rFonts w:ascii="Arial" w:hAnsi="Arial" w:cs="Arial"/>
          <w:sz w:val="22"/>
          <w:szCs w:val="22"/>
          <w:lang w:val="es-ES"/>
        </w:rPr>
        <w:t>Por la cual se establece el precio de crudo mínimo y máximo para efectos de determinar el Factor Multiplicador establecido en el artículo 2.2.6.2.7 del Decreto 1076 de 2015.</w:t>
      </w:r>
      <w:r w:rsidRPr="005B213C">
        <w:rPr>
          <w:rFonts w:ascii="Arial" w:hAnsi="Arial" w:cs="Arial"/>
          <w:i/>
          <w:sz w:val="22"/>
          <w:szCs w:val="22"/>
        </w:rPr>
        <w:t>”</w:t>
      </w:r>
    </w:p>
    <w:p w14:paraId="41F86859" w14:textId="77777777" w:rsidR="00F826CE" w:rsidRPr="005B213C" w:rsidRDefault="00F826CE" w:rsidP="004C634F">
      <w:pPr>
        <w:spacing w:after="0" w:line="240" w:lineRule="auto"/>
        <w:jc w:val="both"/>
        <w:rPr>
          <w:rFonts w:cs="Arial"/>
          <w:b/>
        </w:rPr>
      </w:pPr>
    </w:p>
    <w:p w14:paraId="71C7FE77" w14:textId="77777777" w:rsidR="008806C4" w:rsidRPr="005B213C" w:rsidRDefault="008806C4" w:rsidP="004C634F">
      <w:pPr>
        <w:spacing w:after="0" w:line="240" w:lineRule="auto"/>
        <w:jc w:val="both"/>
        <w:rPr>
          <w:rFonts w:cs="Arial"/>
          <w:b/>
        </w:rPr>
      </w:pPr>
    </w:p>
    <w:p w14:paraId="207A0DCC" w14:textId="77777777" w:rsidR="00D5445E" w:rsidRPr="005B213C" w:rsidRDefault="00D5445E" w:rsidP="004C634F">
      <w:pPr>
        <w:pStyle w:val="Textoindependiente"/>
        <w:numPr>
          <w:ilvl w:val="0"/>
          <w:numId w:val="2"/>
        </w:numPr>
        <w:ind w:hanging="720"/>
        <w:rPr>
          <w:rFonts w:cs="Arial"/>
          <w:b/>
          <w:sz w:val="22"/>
          <w:szCs w:val="22"/>
          <w:lang w:val="es-CO"/>
        </w:rPr>
      </w:pPr>
      <w:r w:rsidRPr="005B213C">
        <w:rPr>
          <w:rFonts w:cs="Arial"/>
          <w:b/>
          <w:sz w:val="22"/>
          <w:szCs w:val="22"/>
          <w:lang w:val="es-CO"/>
        </w:rPr>
        <w:t>ANTECEDENTES, OPORTUNIDAD Y CONVENIENCIA</w:t>
      </w:r>
    </w:p>
    <w:p w14:paraId="05701A9D" w14:textId="77777777" w:rsidR="00753702" w:rsidRPr="005B213C" w:rsidRDefault="00753702" w:rsidP="004C634F">
      <w:pPr>
        <w:pStyle w:val="Textoindependiente"/>
        <w:rPr>
          <w:rFonts w:cs="Arial"/>
          <w:b/>
          <w:sz w:val="22"/>
          <w:szCs w:val="22"/>
          <w:lang w:val="es-CO"/>
        </w:rPr>
      </w:pPr>
    </w:p>
    <w:p w14:paraId="38B9A1CC" w14:textId="77777777" w:rsidR="00753702" w:rsidRPr="005B213C" w:rsidRDefault="00753702" w:rsidP="004C634F">
      <w:pPr>
        <w:pStyle w:val="Textoindependiente3"/>
        <w:numPr>
          <w:ilvl w:val="1"/>
          <w:numId w:val="4"/>
        </w:numPr>
        <w:spacing w:after="0"/>
        <w:jc w:val="both"/>
        <w:rPr>
          <w:rFonts w:ascii="Arial" w:hAnsi="Arial" w:cs="Arial"/>
          <w:b/>
          <w:sz w:val="22"/>
          <w:szCs w:val="22"/>
        </w:rPr>
      </w:pPr>
      <w:r w:rsidRPr="005B213C">
        <w:rPr>
          <w:rFonts w:ascii="Arial" w:hAnsi="Arial" w:cs="Arial"/>
          <w:b/>
          <w:sz w:val="22"/>
          <w:szCs w:val="22"/>
        </w:rPr>
        <w:t>Antecedentes</w:t>
      </w:r>
      <w:r w:rsidR="004D29CA" w:rsidRPr="005B213C">
        <w:rPr>
          <w:rFonts w:ascii="Arial" w:hAnsi="Arial" w:cs="Arial"/>
          <w:b/>
          <w:sz w:val="22"/>
          <w:szCs w:val="22"/>
        </w:rPr>
        <w:t xml:space="preserve"> </w:t>
      </w:r>
    </w:p>
    <w:p w14:paraId="4480E1C1" w14:textId="77777777" w:rsidR="004D29CA" w:rsidRPr="005B213C" w:rsidRDefault="004D29CA" w:rsidP="004C634F">
      <w:pPr>
        <w:pStyle w:val="Textoindependiente3"/>
        <w:spacing w:after="0"/>
        <w:jc w:val="both"/>
        <w:rPr>
          <w:rFonts w:ascii="Arial" w:hAnsi="Arial" w:cs="Arial"/>
          <w:b/>
          <w:sz w:val="22"/>
          <w:szCs w:val="22"/>
        </w:rPr>
      </w:pPr>
    </w:p>
    <w:p w14:paraId="1F61905E" w14:textId="77777777" w:rsidR="00147C27" w:rsidRPr="005B213C" w:rsidRDefault="00147C27" w:rsidP="00147C27">
      <w:pPr>
        <w:pStyle w:val="Sinespaciado"/>
        <w:jc w:val="both"/>
        <w:rPr>
          <w:rFonts w:ascii="Arial" w:hAnsi="Arial" w:cs="Arial"/>
        </w:rPr>
      </w:pPr>
      <w:r w:rsidRPr="005B213C">
        <w:rPr>
          <w:rFonts w:ascii="Arial" w:hAnsi="Arial" w:cs="Arial"/>
        </w:rPr>
        <w:t>El Congreso de la República identificó la necesidad de promover las actividades de exploración y producción de hidrocarburos y minerales en el país, considerando que la combinación de diferentes situaciones de mercado, entre ellas la reciente caída significativa de sus precios internacionales, la percepción del riesgo del negocio y la competencia surgida por parte de otros países pares, ha traído como consecuencia una disminución importante de las inversiones en estas actividades y por tanto de ingresos de recursos para las rentas nacionales y territoriales, así como la disminución de la auto-sostenibilidad energética.</w:t>
      </w:r>
    </w:p>
    <w:p w14:paraId="7CEC2529" w14:textId="77777777" w:rsidR="00147C27" w:rsidRPr="005B213C" w:rsidRDefault="00147C27" w:rsidP="00147C27">
      <w:pPr>
        <w:pStyle w:val="Sinespaciado"/>
        <w:jc w:val="both"/>
        <w:rPr>
          <w:rFonts w:ascii="Arial" w:hAnsi="Arial" w:cs="Arial"/>
        </w:rPr>
      </w:pPr>
    </w:p>
    <w:p w14:paraId="0A5A8CE2" w14:textId="77777777" w:rsidR="00147C27" w:rsidRPr="005B213C" w:rsidRDefault="00147C27" w:rsidP="00147C27">
      <w:pPr>
        <w:pStyle w:val="Sinespaciado"/>
        <w:jc w:val="both"/>
        <w:rPr>
          <w:rFonts w:ascii="Arial" w:hAnsi="Arial" w:cs="Arial"/>
        </w:rPr>
      </w:pPr>
      <w:r w:rsidRPr="005B213C">
        <w:rPr>
          <w:rFonts w:ascii="Arial" w:hAnsi="Arial" w:cs="Arial"/>
        </w:rPr>
        <w:t xml:space="preserve">Es por esto que surgió la necesidad de implementar propuestas que incentiven y aceleren las inversiones y restablezcan la posibilidad de llevar a cabo los proyectos que se tenían presupuestados a precios más altos y, con base en los cuales, el Gobierno había fijado sus metas fiscales de corto plazo y mediano plazo, junto con sus metas de reservas y producción de hidrocarburos y minerales, hasta tanto se mejoran las condiciones negativas que enfrenta el sector. </w:t>
      </w:r>
    </w:p>
    <w:p w14:paraId="4EDB7EA9" w14:textId="77777777" w:rsidR="00147C27" w:rsidRPr="005B213C" w:rsidRDefault="00147C27" w:rsidP="00147C27">
      <w:pPr>
        <w:pStyle w:val="Sinespaciado"/>
        <w:jc w:val="both"/>
        <w:rPr>
          <w:rFonts w:ascii="Arial" w:hAnsi="Arial" w:cs="Arial"/>
        </w:rPr>
      </w:pPr>
    </w:p>
    <w:p w14:paraId="5596FAF3" w14:textId="77777777" w:rsidR="00A30F0A" w:rsidRPr="005B213C" w:rsidRDefault="00147C27" w:rsidP="0085390E">
      <w:pPr>
        <w:pStyle w:val="xmsonospacing"/>
        <w:shd w:val="clear" w:color="auto" w:fill="FFFFFF"/>
        <w:spacing w:before="0" w:beforeAutospacing="0" w:after="0" w:afterAutospacing="0"/>
        <w:jc w:val="both"/>
        <w:rPr>
          <w:rFonts w:ascii="Arial" w:eastAsia="Calibri" w:hAnsi="Arial" w:cs="Arial"/>
          <w:sz w:val="22"/>
          <w:szCs w:val="22"/>
        </w:rPr>
      </w:pPr>
      <w:r w:rsidRPr="005B213C">
        <w:rPr>
          <w:rFonts w:ascii="Arial" w:eastAsia="Calibri" w:hAnsi="Arial" w:cs="Arial"/>
          <w:sz w:val="22"/>
          <w:szCs w:val="22"/>
        </w:rPr>
        <w:t xml:space="preserve">En </w:t>
      </w:r>
      <w:r w:rsidR="005B12B3" w:rsidRPr="005B213C">
        <w:rPr>
          <w:rFonts w:ascii="Arial" w:eastAsia="Calibri" w:hAnsi="Arial" w:cs="Arial"/>
          <w:sz w:val="22"/>
          <w:szCs w:val="22"/>
        </w:rPr>
        <w:t>este sentido, en la Ley 1819 de 2016 se incluyó en el art</w:t>
      </w:r>
      <w:r w:rsidR="002069D1" w:rsidRPr="005B213C">
        <w:rPr>
          <w:rFonts w:ascii="Arial" w:eastAsia="Calibri" w:hAnsi="Arial" w:cs="Arial"/>
          <w:sz w:val="22"/>
          <w:szCs w:val="22"/>
        </w:rPr>
        <w:t>ículo 365</w:t>
      </w:r>
      <w:r w:rsidR="005B12B3" w:rsidRPr="005B213C">
        <w:rPr>
          <w:rFonts w:ascii="Arial" w:eastAsia="Calibri" w:hAnsi="Arial" w:cs="Arial"/>
          <w:sz w:val="22"/>
          <w:szCs w:val="22"/>
        </w:rPr>
        <w:t xml:space="preserve"> un incentivo a</w:t>
      </w:r>
      <w:r w:rsidR="002069D1" w:rsidRPr="005B213C">
        <w:rPr>
          <w:rFonts w:ascii="Arial" w:eastAsia="Calibri" w:hAnsi="Arial" w:cs="Arial"/>
          <w:sz w:val="22"/>
          <w:szCs w:val="22"/>
        </w:rPr>
        <w:t>l incremento de</w:t>
      </w:r>
      <w:r w:rsidR="005B12B3" w:rsidRPr="005B213C">
        <w:rPr>
          <w:rFonts w:ascii="Arial" w:eastAsia="Calibri" w:hAnsi="Arial" w:cs="Arial"/>
          <w:sz w:val="22"/>
          <w:szCs w:val="22"/>
        </w:rPr>
        <w:t xml:space="preserve"> las inversiones en exploración y explotación de hidrocarburos y minerales </w:t>
      </w:r>
      <w:r w:rsidR="002069D1" w:rsidRPr="005B213C">
        <w:rPr>
          <w:rFonts w:ascii="Arial" w:eastAsia="Calibri" w:hAnsi="Arial" w:cs="Arial"/>
          <w:sz w:val="22"/>
          <w:szCs w:val="22"/>
        </w:rPr>
        <w:t xml:space="preserve">correspondiente al otorgamiento de un Certificado de Reembolso Tributario – CERT cuyo valor será un porcentaje de dicho incremento. </w:t>
      </w:r>
    </w:p>
    <w:p w14:paraId="1C262927" w14:textId="77777777" w:rsidR="00A30F0A" w:rsidRPr="005B213C" w:rsidRDefault="00A30F0A" w:rsidP="0085390E">
      <w:pPr>
        <w:pStyle w:val="xmsonospacing"/>
        <w:shd w:val="clear" w:color="auto" w:fill="FFFFFF"/>
        <w:spacing w:before="0" w:beforeAutospacing="0" w:after="0" w:afterAutospacing="0"/>
        <w:jc w:val="both"/>
        <w:rPr>
          <w:rFonts w:ascii="Arial" w:eastAsia="Calibri" w:hAnsi="Arial" w:cs="Arial"/>
          <w:sz w:val="22"/>
          <w:szCs w:val="22"/>
        </w:rPr>
      </w:pPr>
    </w:p>
    <w:p w14:paraId="7F056DB8" w14:textId="07F03145" w:rsidR="00E212B8" w:rsidRPr="005B213C" w:rsidRDefault="00A30F0A" w:rsidP="0085390E">
      <w:pPr>
        <w:pStyle w:val="xmsonospacing"/>
        <w:shd w:val="clear" w:color="auto" w:fill="FFFFFF"/>
        <w:spacing w:before="0" w:beforeAutospacing="0" w:after="0" w:afterAutospacing="0"/>
        <w:jc w:val="both"/>
        <w:rPr>
          <w:rFonts w:ascii="Arial" w:hAnsi="Arial" w:cs="Arial"/>
          <w:bCs/>
          <w:iCs/>
          <w:sz w:val="22"/>
          <w:szCs w:val="22"/>
          <w:lang w:eastAsia="es-CO"/>
        </w:rPr>
      </w:pPr>
      <w:r w:rsidRPr="005B213C">
        <w:rPr>
          <w:rFonts w:ascii="Arial" w:eastAsia="Calibri" w:hAnsi="Arial" w:cs="Arial"/>
          <w:sz w:val="22"/>
          <w:szCs w:val="22"/>
        </w:rPr>
        <w:t>Adicionalmente, el 29 de diciembre de 2017 se expidió el Decreto 2253</w:t>
      </w:r>
      <w:r w:rsidR="00767D55">
        <w:rPr>
          <w:rFonts w:ascii="Arial" w:eastAsia="Calibri" w:hAnsi="Arial" w:cs="Arial"/>
          <w:sz w:val="22"/>
          <w:szCs w:val="22"/>
        </w:rPr>
        <w:t>,</w:t>
      </w:r>
      <w:r w:rsidR="00E212B8" w:rsidRPr="005B213C">
        <w:rPr>
          <w:rFonts w:ascii="Arial" w:eastAsia="Calibri" w:hAnsi="Arial" w:cs="Arial"/>
          <w:sz w:val="22"/>
          <w:szCs w:val="22"/>
        </w:rPr>
        <w:t xml:space="preserve"> </w:t>
      </w:r>
      <w:r w:rsidR="00767D55">
        <w:rPr>
          <w:rFonts w:ascii="Arial" w:eastAsia="Calibri" w:hAnsi="Arial" w:cs="Arial"/>
          <w:sz w:val="22"/>
          <w:szCs w:val="22"/>
        </w:rPr>
        <w:t xml:space="preserve">que adiciona el Decreto 1076 de 2015, </w:t>
      </w:r>
      <w:r w:rsidR="00E212B8" w:rsidRPr="005B213C">
        <w:rPr>
          <w:rFonts w:ascii="Arial" w:eastAsia="Calibri" w:hAnsi="Arial" w:cs="Arial"/>
          <w:sz w:val="22"/>
          <w:szCs w:val="22"/>
        </w:rPr>
        <w:t xml:space="preserve">el cual </w:t>
      </w:r>
      <w:r w:rsidRPr="005B213C">
        <w:rPr>
          <w:rFonts w:ascii="Arial" w:eastAsia="Calibri" w:hAnsi="Arial" w:cs="Arial"/>
          <w:sz w:val="22"/>
          <w:szCs w:val="22"/>
        </w:rPr>
        <w:t>reglamenta dicho artículo y establece la obligación</w:t>
      </w:r>
      <w:r w:rsidR="006B04AF">
        <w:rPr>
          <w:rFonts w:ascii="Arial" w:eastAsia="Calibri" w:hAnsi="Arial" w:cs="Arial"/>
          <w:sz w:val="22"/>
          <w:szCs w:val="22"/>
        </w:rPr>
        <w:t>,</w:t>
      </w:r>
      <w:r w:rsidRPr="005B213C">
        <w:rPr>
          <w:rFonts w:ascii="Arial" w:eastAsia="Calibri" w:hAnsi="Arial" w:cs="Arial"/>
          <w:sz w:val="22"/>
          <w:szCs w:val="22"/>
        </w:rPr>
        <w:t xml:space="preserve"> para el Ministerio de Hacienda y Crédito Público </w:t>
      </w:r>
      <w:r w:rsidR="006B04AF">
        <w:rPr>
          <w:rFonts w:ascii="Arial" w:eastAsia="Calibri" w:hAnsi="Arial" w:cs="Arial"/>
          <w:sz w:val="22"/>
          <w:szCs w:val="22"/>
        </w:rPr>
        <w:t>de establecer un rango de precios de crudo</w:t>
      </w:r>
      <w:r w:rsidR="005216A8">
        <w:rPr>
          <w:rFonts w:ascii="Arial" w:eastAsia="Calibri" w:hAnsi="Arial" w:cs="Arial"/>
          <w:sz w:val="22"/>
          <w:szCs w:val="22"/>
        </w:rPr>
        <w:t xml:space="preserve"> de la referencia BRENT</w:t>
      </w:r>
      <w:r w:rsidR="006B04AF">
        <w:rPr>
          <w:rFonts w:ascii="Arial" w:eastAsia="Calibri" w:hAnsi="Arial" w:cs="Arial"/>
          <w:sz w:val="22"/>
          <w:szCs w:val="22"/>
        </w:rPr>
        <w:t xml:space="preserve"> para efectos del cálculo de</w:t>
      </w:r>
      <w:r w:rsidR="00767D55">
        <w:rPr>
          <w:rFonts w:ascii="Arial" w:eastAsia="Calibri" w:hAnsi="Arial" w:cs="Arial"/>
          <w:sz w:val="22"/>
          <w:szCs w:val="22"/>
        </w:rPr>
        <w:t xml:space="preserve"> </w:t>
      </w:r>
      <w:r w:rsidR="006B04AF">
        <w:rPr>
          <w:rFonts w:ascii="Arial" w:eastAsia="Calibri" w:hAnsi="Arial" w:cs="Arial"/>
          <w:sz w:val="22"/>
          <w:szCs w:val="22"/>
        </w:rPr>
        <w:t>l</w:t>
      </w:r>
      <w:r w:rsidR="00767D55">
        <w:rPr>
          <w:rFonts w:ascii="Arial" w:eastAsia="Calibri" w:hAnsi="Arial" w:cs="Arial"/>
          <w:sz w:val="22"/>
          <w:szCs w:val="22"/>
        </w:rPr>
        <w:t>a determinación del</w:t>
      </w:r>
      <w:r w:rsidR="006B04AF">
        <w:rPr>
          <w:rFonts w:ascii="Arial" w:eastAsia="Calibri" w:hAnsi="Arial" w:cs="Arial"/>
          <w:sz w:val="22"/>
          <w:szCs w:val="22"/>
        </w:rPr>
        <w:t xml:space="preserve"> Factor Multiplicador. Este factor</w:t>
      </w:r>
      <w:r w:rsidR="005216A8">
        <w:rPr>
          <w:rFonts w:ascii="Arial" w:eastAsia="Calibri" w:hAnsi="Arial" w:cs="Arial"/>
          <w:sz w:val="22"/>
          <w:szCs w:val="22"/>
        </w:rPr>
        <w:t xml:space="preserve"> al depender del precio internacional, </w:t>
      </w:r>
      <w:r w:rsidR="008671E5">
        <w:rPr>
          <w:rFonts w:ascii="Arial" w:eastAsia="Calibri" w:hAnsi="Arial" w:cs="Arial"/>
          <w:sz w:val="22"/>
          <w:szCs w:val="22"/>
        </w:rPr>
        <w:t>tiene como objetivo</w:t>
      </w:r>
      <w:r w:rsidR="005216A8">
        <w:rPr>
          <w:rFonts w:ascii="Arial" w:eastAsia="Calibri" w:hAnsi="Arial" w:cs="Arial"/>
          <w:sz w:val="22"/>
          <w:szCs w:val="22"/>
        </w:rPr>
        <w:t xml:space="preserve"> ajustar el monto del incentivo tributario que se le otorgaría a las empresas. Entre más alto sea el precio</w:t>
      </w:r>
      <w:r w:rsidR="008671E5">
        <w:rPr>
          <w:rFonts w:ascii="Arial" w:eastAsia="Calibri" w:hAnsi="Arial" w:cs="Arial"/>
          <w:sz w:val="22"/>
          <w:szCs w:val="22"/>
        </w:rPr>
        <w:t xml:space="preserve"> promedio</w:t>
      </w:r>
      <w:r w:rsidR="005216A8">
        <w:rPr>
          <w:rFonts w:ascii="Arial" w:eastAsia="Calibri" w:hAnsi="Arial" w:cs="Arial"/>
          <w:sz w:val="22"/>
          <w:szCs w:val="22"/>
        </w:rPr>
        <w:t xml:space="preserve">, menor será el requerimiento de incentivo y </w:t>
      </w:r>
      <w:r w:rsidR="008671E5">
        <w:rPr>
          <w:rFonts w:ascii="Arial" w:eastAsia="Calibri" w:hAnsi="Arial" w:cs="Arial"/>
          <w:sz w:val="22"/>
          <w:szCs w:val="22"/>
        </w:rPr>
        <w:t xml:space="preserve">entre más bajo el precio mayor será el porcentaje del incentivo </w:t>
      </w:r>
      <w:r w:rsidR="00482CF2">
        <w:rPr>
          <w:rFonts w:ascii="Arial" w:eastAsia="Calibri" w:hAnsi="Arial" w:cs="Arial"/>
          <w:sz w:val="22"/>
          <w:szCs w:val="22"/>
        </w:rPr>
        <w:t xml:space="preserve">a </w:t>
      </w:r>
      <w:r w:rsidR="008671E5">
        <w:rPr>
          <w:rFonts w:ascii="Arial" w:eastAsia="Calibri" w:hAnsi="Arial" w:cs="Arial"/>
          <w:sz w:val="22"/>
          <w:szCs w:val="22"/>
        </w:rPr>
        <w:t>otorga</w:t>
      </w:r>
      <w:r w:rsidR="00482CF2">
        <w:rPr>
          <w:rFonts w:ascii="Arial" w:eastAsia="Calibri" w:hAnsi="Arial" w:cs="Arial"/>
          <w:sz w:val="22"/>
          <w:szCs w:val="22"/>
        </w:rPr>
        <w:t>r</w:t>
      </w:r>
      <w:r w:rsidR="005216A8">
        <w:rPr>
          <w:rFonts w:ascii="Arial" w:eastAsia="Calibri" w:hAnsi="Arial" w:cs="Arial"/>
          <w:sz w:val="22"/>
          <w:szCs w:val="22"/>
        </w:rPr>
        <w:t xml:space="preserve">. </w:t>
      </w:r>
    </w:p>
    <w:p w14:paraId="0E4F20A9" w14:textId="77777777" w:rsidR="00416702" w:rsidRDefault="00416702" w:rsidP="00147C27">
      <w:pPr>
        <w:pStyle w:val="Sinespaciado"/>
        <w:jc w:val="both"/>
        <w:rPr>
          <w:rFonts w:ascii="Arial" w:hAnsi="Arial" w:cs="Arial"/>
        </w:rPr>
      </w:pPr>
    </w:p>
    <w:p w14:paraId="0CA4ADC4" w14:textId="77777777" w:rsidR="00416702" w:rsidRPr="005B213C" w:rsidRDefault="00416702" w:rsidP="00147C27">
      <w:pPr>
        <w:pStyle w:val="Sinespaciado"/>
        <w:jc w:val="both"/>
        <w:rPr>
          <w:rFonts w:ascii="Arial" w:hAnsi="Arial" w:cs="Arial"/>
        </w:rPr>
      </w:pPr>
    </w:p>
    <w:p w14:paraId="24AAFECA" w14:textId="77777777" w:rsidR="00753702" w:rsidRPr="005B213C" w:rsidRDefault="00753702" w:rsidP="004C634F">
      <w:pPr>
        <w:pStyle w:val="Textoindependiente3"/>
        <w:numPr>
          <w:ilvl w:val="1"/>
          <w:numId w:val="4"/>
        </w:numPr>
        <w:spacing w:after="0"/>
        <w:jc w:val="both"/>
        <w:rPr>
          <w:rFonts w:ascii="Arial" w:hAnsi="Arial" w:cs="Arial"/>
          <w:b/>
          <w:bCs/>
          <w:sz w:val="22"/>
          <w:szCs w:val="22"/>
          <w:lang w:val="es-ES"/>
        </w:rPr>
      </w:pPr>
      <w:r w:rsidRPr="005B213C">
        <w:rPr>
          <w:rFonts w:ascii="Arial" w:hAnsi="Arial" w:cs="Arial"/>
          <w:b/>
          <w:bCs/>
          <w:sz w:val="22"/>
          <w:szCs w:val="22"/>
          <w:lang w:val="es-ES"/>
        </w:rPr>
        <w:t>Oportunidad</w:t>
      </w:r>
    </w:p>
    <w:p w14:paraId="4EFD42E7" w14:textId="77777777" w:rsidR="00D769E5" w:rsidRPr="005B213C" w:rsidRDefault="00D769E5" w:rsidP="004C634F">
      <w:pPr>
        <w:pStyle w:val="Textoindependiente3"/>
        <w:spacing w:after="0"/>
        <w:jc w:val="both"/>
        <w:rPr>
          <w:rFonts w:ascii="Arial" w:hAnsi="Arial" w:cs="Arial"/>
          <w:sz w:val="22"/>
          <w:szCs w:val="22"/>
        </w:rPr>
      </w:pPr>
    </w:p>
    <w:p w14:paraId="64FC889C" w14:textId="7FC16F1E" w:rsidR="00D769E5" w:rsidRPr="005B213C" w:rsidRDefault="00F64C28" w:rsidP="004C634F">
      <w:pPr>
        <w:pStyle w:val="Textoindependiente3"/>
        <w:spacing w:after="0"/>
        <w:jc w:val="both"/>
        <w:rPr>
          <w:rFonts w:ascii="Arial" w:hAnsi="Arial" w:cs="Arial"/>
          <w:sz w:val="22"/>
          <w:szCs w:val="22"/>
        </w:rPr>
      </w:pPr>
      <w:r w:rsidRPr="005B213C">
        <w:rPr>
          <w:rFonts w:ascii="Arial" w:hAnsi="Arial" w:cs="Arial"/>
          <w:sz w:val="22"/>
          <w:szCs w:val="22"/>
        </w:rPr>
        <w:t xml:space="preserve">De acuerdo con el </w:t>
      </w:r>
      <w:r w:rsidR="00767D55">
        <w:rPr>
          <w:rFonts w:ascii="Arial" w:hAnsi="Arial" w:cs="Arial"/>
          <w:sz w:val="22"/>
          <w:szCs w:val="22"/>
        </w:rPr>
        <w:t xml:space="preserve">artículo 2.2.6.2.7. del Decreto 1076 de 2015, reglamentario del Sector de Minas y Energía, adicionado por el </w:t>
      </w:r>
      <w:r w:rsidR="00297F5C" w:rsidRPr="005B213C">
        <w:rPr>
          <w:rFonts w:ascii="Arial" w:hAnsi="Arial" w:cs="Arial"/>
          <w:sz w:val="22"/>
          <w:szCs w:val="22"/>
        </w:rPr>
        <w:t>D</w:t>
      </w:r>
      <w:r w:rsidR="00E212B8" w:rsidRPr="005B213C">
        <w:rPr>
          <w:rFonts w:ascii="Arial" w:hAnsi="Arial" w:cs="Arial"/>
          <w:sz w:val="22"/>
          <w:szCs w:val="22"/>
        </w:rPr>
        <w:t>ecreto 2253 de 2017,</w:t>
      </w:r>
      <w:r w:rsidRPr="005B213C">
        <w:rPr>
          <w:rFonts w:ascii="Arial" w:hAnsi="Arial" w:cs="Arial"/>
          <w:sz w:val="22"/>
          <w:szCs w:val="22"/>
        </w:rPr>
        <w:t xml:space="preserve"> el </w:t>
      </w:r>
      <w:r w:rsidR="00E212B8" w:rsidRPr="005B213C">
        <w:rPr>
          <w:rFonts w:ascii="Arial" w:hAnsi="Arial" w:cs="Arial"/>
          <w:sz w:val="22"/>
          <w:szCs w:val="22"/>
        </w:rPr>
        <w:t>Ministerio de Minas y Energía</w:t>
      </w:r>
      <w:r w:rsidRPr="005B213C">
        <w:rPr>
          <w:rFonts w:ascii="Arial" w:hAnsi="Arial" w:cs="Arial"/>
          <w:sz w:val="22"/>
          <w:szCs w:val="22"/>
        </w:rPr>
        <w:t xml:space="preserve"> </w:t>
      </w:r>
      <w:r w:rsidR="006B04AF">
        <w:rPr>
          <w:rFonts w:ascii="Arial" w:hAnsi="Arial" w:cs="Arial"/>
          <w:sz w:val="22"/>
          <w:szCs w:val="22"/>
        </w:rPr>
        <w:t xml:space="preserve">y el Ministerio de Hacienda y Crédito Público </w:t>
      </w:r>
      <w:r w:rsidRPr="005B213C">
        <w:rPr>
          <w:rFonts w:ascii="Arial" w:hAnsi="Arial" w:cs="Arial"/>
          <w:sz w:val="22"/>
          <w:szCs w:val="22"/>
        </w:rPr>
        <w:t xml:space="preserve">debe </w:t>
      </w:r>
      <w:r w:rsidR="00767D55">
        <w:rPr>
          <w:rFonts w:ascii="Arial" w:hAnsi="Arial" w:cs="Arial"/>
          <w:sz w:val="22"/>
          <w:szCs w:val="22"/>
        </w:rPr>
        <w:t xml:space="preserve">establecer un rango de precios de crudo a los que se les aplicará el Factor Multiplicador para el ajuste del porcentaje base de CERT. </w:t>
      </w:r>
      <w:r w:rsidRPr="005B213C">
        <w:rPr>
          <w:rFonts w:ascii="Arial" w:hAnsi="Arial" w:cs="Arial"/>
          <w:sz w:val="22"/>
          <w:szCs w:val="22"/>
        </w:rPr>
        <w:t xml:space="preserve">En este sentido, es oportuno que el Ministerio de Minas y Energía </w:t>
      </w:r>
      <w:r w:rsidR="00767D55">
        <w:rPr>
          <w:rFonts w:ascii="Arial" w:hAnsi="Arial" w:cs="Arial"/>
          <w:sz w:val="22"/>
          <w:szCs w:val="22"/>
        </w:rPr>
        <w:t xml:space="preserve">y el Ministerio de Hacienda y Crédito Público </w:t>
      </w:r>
      <w:r w:rsidRPr="005B213C">
        <w:rPr>
          <w:rFonts w:ascii="Arial" w:hAnsi="Arial" w:cs="Arial"/>
          <w:sz w:val="22"/>
          <w:szCs w:val="22"/>
        </w:rPr>
        <w:t>expida</w:t>
      </w:r>
      <w:r w:rsidR="00767D55">
        <w:rPr>
          <w:rFonts w:ascii="Arial" w:hAnsi="Arial" w:cs="Arial"/>
          <w:sz w:val="22"/>
          <w:szCs w:val="22"/>
        </w:rPr>
        <w:t>n</w:t>
      </w:r>
      <w:r w:rsidRPr="005B213C">
        <w:rPr>
          <w:rFonts w:ascii="Arial" w:hAnsi="Arial" w:cs="Arial"/>
          <w:sz w:val="22"/>
          <w:szCs w:val="22"/>
        </w:rPr>
        <w:t xml:space="preserve"> este acto administrativo por ser de su competencia.   </w:t>
      </w:r>
    </w:p>
    <w:p w14:paraId="4711A9B4" w14:textId="77777777" w:rsidR="005B5863" w:rsidRPr="005B213C" w:rsidRDefault="005B5863" w:rsidP="004C634F">
      <w:pPr>
        <w:pStyle w:val="Textoindependiente3"/>
        <w:spacing w:after="0"/>
        <w:jc w:val="both"/>
        <w:rPr>
          <w:rFonts w:ascii="Arial" w:hAnsi="Arial" w:cs="Arial"/>
          <w:sz w:val="22"/>
          <w:szCs w:val="22"/>
        </w:rPr>
      </w:pPr>
    </w:p>
    <w:p w14:paraId="0BA840DA" w14:textId="77777777" w:rsidR="00753702" w:rsidRPr="005B213C" w:rsidRDefault="00753702" w:rsidP="004C634F">
      <w:pPr>
        <w:pStyle w:val="Textoindependiente3"/>
        <w:numPr>
          <w:ilvl w:val="1"/>
          <w:numId w:val="4"/>
        </w:numPr>
        <w:spacing w:after="0"/>
        <w:jc w:val="both"/>
        <w:rPr>
          <w:rFonts w:ascii="Arial" w:hAnsi="Arial" w:cs="Arial"/>
          <w:b/>
          <w:sz w:val="22"/>
          <w:szCs w:val="22"/>
        </w:rPr>
      </w:pPr>
      <w:r w:rsidRPr="005B213C">
        <w:rPr>
          <w:rFonts w:ascii="Arial" w:hAnsi="Arial" w:cs="Arial"/>
          <w:b/>
          <w:sz w:val="22"/>
          <w:szCs w:val="22"/>
        </w:rPr>
        <w:t>Conveniencia</w:t>
      </w:r>
    </w:p>
    <w:p w14:paraId="50CC923B" w14:textId="77777777" w:rsidR="00753702" w:rsidRPr="005B213C" w:rsidRDefault="00753702" w:rsidP="004C634F">
      <w:pPr>
        <w:pStyle w:val="Textoindependiente3"/>
        <w:spacing w:after="0"/>
        <w:jc w:val="both"/>
        <w:rPr>
          <w:rFonts w:ascii="Arial" w:hAnsi="Arial" w:cs="Arial"/>
          <w:sz w:val="22"/>
          <w:szCs w:val="22"/>
        </w:rPr>
      </w:pPr>
    </w:p>
    <w:p w14:paraId="5312D3A0" w14:textId="77777777" w:rsidR="00EC2B07" w:rsidRPr="005B213C" w:rsidRDefault="00753702" w:rsidP="00F64C28">
      <w:pPr>
        <w:pStyle w:val="Textoindependiente3"/>
        <w:spacing w:after="0"/>
        <w:jc w:val="both"/>
        <w:rPr>
          <w:rFonts w:ascii="Arial" w:hAnsi="Arial" w:cs="Arial"/>
          <w:sz w:val="22"/>
          <w:szCs w:val="22"/>
        </w:rPr>
      </w:pPr>
      <w:r w:rsidRPr="005B213C">
        <w:rPr>
          <w:rFonts w:ascii="Arial" w:hAnsi="Arial" w:cs="Arial"/>
          <w:sz w:val="22"/>
          <w:szCs w:val="22"/>
        </w:rPr>
        <w:t xml:space="preserve">Es conveniente expedir </w:t>
      </w:r>
      <w:r w:rsidR="00DA07C2" w:rsidRPr="005B213C">
        <w:rPr>
          <w:rFonts w:ascii="Arial" w:hAnsi="Arial" w:cs="Arial"/>
          <w:sz w:val="22"/>
          <w:szCs w:val="22"/>
        </w:rPr>
        <w:t>este acto administrativo</w:t>
      </w:r>
      <w:r w:rsidR="00F64C28" w:rsidRPr="005B213C">
        <w:rPr>
          <w:rFonts w:ascii="Arial" w:hAnsi="Arial" w:cs="Arial"/>
          <w:sz w:val="22"/>
          <w:szCs w:val="22"/>
        </w:rPr>
        <w:t xml:space="preserve"> pues </w:t>
      </w:r>
      <w:r w:rsidR="0050615B" w:rsidRPr="005B213C">
        <w:rPr>
          <w:rFonts w:ascii="Arial" w:hAnsi="Arial" w:cs="Arial"/>
          <w:sz w:val="22"/>
          <w:szCs w:val="22"/>
        </w:rPr>
        <w:t>es necesario para que el incentivo CERT se pueda aplicar. Adicionalmente, una norma de rango superior estableció</w:t>
      </w:r>
      <w:r w:rsidR="00767D55">
        <w:rPr>
          <w:rFonts w:ascii="Arial" w:hAnsi="Arial" w:cs="Arial"/>
          <w:sz w:val="22"/>
          <w:szCs w:val="22"/>
        </w:rPr>
        <w:t xml:space="preserve"> dicha obligación.</w:t>
      </w:r>
      <w:r w:rsidR="0050615B" w:rsidRPr="005B213C">
        <w:rPr>
          <w:rFonts w:ascii="Arial" w:hAnsi="Arial" w:cs="Arial"/>
          <w:sz w:val="22"/>
          <w:szCs w:val="22"/>
        </w:rPr>
        <w:t xml:space="preserve"> </w:t>
      </w:r>
    </w:p>
    <w:p w14:paraId="144D7413" w14:textId="77777777" w:rsidR="00FE30FD" w:rsidRPr="005B213C" w:rsidRDefault="00FE30FD" w:rsidP="004C634F">
      <w:pPr>
        <w:pStyle w:val="Textoindependiente3"/>
        <w:spacing w:after="0"/>
        <w:jc w:val="both"/>
        <w:rPr>
          <w:rFonts w:ascii="Arial" w:hAnsi="Arial" w:cs="Arial"/>
          <w:bCs/>
          <w:sz w:val="22"/>
          <w:szCs w:val="22"/>
          <w:lang w:val="es-ES"/>
        </w:rPr>
      </w:pPr>
    </w:p>
    <w:p w14:paraId="7A6AB34C" w14:textId="77777777" w:rsidR="00D5445E" w:rsidRPr="005B213C" w:rsidRDefault="00286669" w:rsidP="004C634F">
      <w:pPr>
        <w:pStyle w:val="Textoindependiente"/>
        <w:numPr>
          <w:ilvl w:val="0"/>
          <w:numId w:val="2"/>
        </w:numPr>
        <w:ind w:left="426" w:hanging="426"/>
        <w:rPr>
          <w:rFonts w:cs="Arial"/>
          <w:b/>
          <w:sz w:val="22"/>
          <w:szCs w:val="22"/>
          <w:lang w:val="es-CO"/>
        </w:rPr>
      </w:pPr>
      <w:r w:rsidRPr="005B213C">
        <w:rPr>
          <w:rFonts w:cs="Arial"/>
          <w:b/>
          <w:sz w:val="22"/>
          <w:szCs w:val="22"/>
          <w:lang w:val="es-CO"/>
        </w:rPr>
        <w:t>Á</w:t>
      </w:r>
      <w:r w:rsidR="00D5445E" w:rsidRPr="005B213C">
        <w:rPr>
          <w:rFonts w:cs="Arial"/>
          <w:b/>
          <w:sz w:val="22"/>
          <w:szCs w:val="22"/>
          <w:lang w:val="es-CO"/>
        </w:rPr>
        <w:t>MBITO DE APLICACIÓN</w:t>
      </w:r>
    </w:p>
    <w:p w14:paraId="6A6D65DD" w14:textId="77777777" w:rsidR="00FE30FD" w:rsidRPr="005B213C" w:rsidRDefault="00FE30FD" w:rsidP="004C634F">
      <w:pPr>
        <w:pStyle w:val="Textoindependiente"/>
        <w:rPr>
          <w:rFonts w:cs="Arial"/>
          <w:b/>
          <w:sz w:val="22"/>
          <w:szCs w:val="22"/>
          <w:lang w:val="es-CO"/>
        </w:rPr>
      </w:pPr>
    </w:p>
    <w:p w14:paraId="01E9C7D9" w14:textId="77777777" w:rsidR="00963724" w:rsidRPr="005B213C" w:rsidRDefault="00963724" w:rsidP="00963724">
      <w:pPr>
        <w:shd w:val="clear" w:color="auto" w:fill="FFFFFF"/>
        <w:spacing w:after="0" w:line="240" w:lineRule="auto"/>
        <w:ind w:right="51"/>
        <w:jc w:val="both"/>
        <w:rPr>
          <w:rFonts w:eastAsia="Times New Roman" w:cs="Arial"/>
          <w:lang w:eastAsia="es-CO"/>
        </w:rPr>
      </w:pPr>
      <w:r w:rsidRPr="005B213C">
        <w:rPr>
          <w:rFonts w:cs="Arial"/>
        </w:rPr>
        <w:t xml:space="preserve">El proyecto de </w:t>
      </w:r>
      <w:r w:rsidR="00297F5C" w:rsidRPr="005B213C">
        <w:rPr>
          <w:rFonts w:cs="Arial"/>
        </w:rPr>
        <w:t>Resolución</w:t>
      </w:r>
      <w:r w:rsidRPr="005B213C">
        <w:rPr>
          <w:rFonts w:cs="Arial"/>
        </w:rPr>
        <w:t xml:space="preserve"> en mención aplica a todo el territorio nacional</w:t>
      </w:r>
      <w:r w:rsidRPr="005B213C">
        <w:rPr>
          <w:rFonts w:eastAsia="Times New Roman" w:cs="Arial"/>
          <w:lang w:eastAsia="es-CO"/>
        </w:rPr>
        <w:t>.</w:t>
      </w:r>
    </w:p>
    <w:p w14:paraId="00A48D47" w14:textId="77777777" w:rsidR="00D5445E" w:rsidRPr="005B213C" w:rsidRDefault="00D5445E" w:rsidP="004C634F">
      <w:pPr>
        <w:pStyle w:val="Textoindependiente"/>
        <w:rPr>
          <w:rFonts w:cs="Arial"/>
          <w:sz w:val="22"/>
          <w:szCs w:val="22"/>
          <w:lang w:val="es-CO"/>
        </w:rPr>
      </w:pPr>
    </w:p>
    <w:p w14:paraId="43CC8E2C" w14:textId="77777777" w:rsidR="00AB6BDE" w:rsidRPr="005B213C" w:rsidRDefault="00D5445E" w:rsidP="004C634F">
      <w:pPr>
        <w:pStyle w:val="Textoindependiente"/>
        <w:numPr>
          <w:ilvl w:val="0"/>
          <w:numId w:val="2"/>
        </w:numPr>
        <w:ind w:left="426" w:hanging="426"/>
        <w:rPr>
          <w:rFonts w:cs="Arial"/>
          <w:b/>
          <w:sz w:val="22"/>
          <w:szCs w:val="22"/>
          <w:lang w:val="es-CO"/>
        </w:rPr>
      </w:pPr>
      <w:r w:rsidRPr="005B213C">
        <w:rPr>
          <w:rFonts w:cs="Arial"/>
          <w:b/>
          <w:sz w:val="22"/>
          <w:szCs w:val="22"/>
          <w:lang w:val="es-CO"/>
        </w:rPr>
        <w:t>VIABILIDAD JURÍDICA</w:t>
      </w:r>
    </w:p>
    <w:p w14:paraId="1977135C" w14:textId="77777777" w:rsidR="00AB6BDE" w:rsidRPr="005B213C" w:rsidRDefault="00AB6BDE" w:rsidP="004C634F">
      <w:pPr>
        <w:pStyle w:val="Textoindependiente"/>
        <w:rPr>
          <w:rFonts w:cs="Arial"/>
          <w:b/>
          <w:sz w:val="22"/>
          <w:szCs w:val="22"/>
          <w:lang w:val="es-CO"/>
        </w:rPr>
      </w:pPr>
    </w:p>
    <w:p w14:paraId="082E6DF1" w14:textId="77777777" w:rsidR="00D5445E" w:rsidRPr="005B213C" w:rsidRDefault="00D5445E" w:rsidP="004C634F">
      <w:pPr>
        <w:pStyle w:val="Textoindependiente"/>
        <w:rPr>
          <w:rFonts w:cs="Arial"/>
          <w:b/>
          <w:sz w:val="22"/>
          <w:szCs w:val="22"/>
          <w:lang w:val="es-CO"/>
        </w:rPr>
      </w:pPr>
      <w:r w:rsidRPr="005B213C">
        <w:rPr>
          <w:rFonts w:cs="Arial"/>
          <w:b/>
          <w:sz w:val="22"/>
          <w:szCs w:val="22"/>
        </w:rPr>
        <w:t>3.1</w:t>
      </w:r>
      <w:r w:rsidR="004604DA" w:rsidRPr="005B213C">
        <w:rPr>
          <w:rFonts w:cs="Arial"/>
          <w:b/>
          <w:sz w:val="22"/>
          <w:szCs w:val="22"/>
        </w:rPr>
        <w:t>. Análisis</w:t>
      </w:r>
      <w:r w:rsidRPr="005B213C">
        <w:rPr>
          <w:rFonts w:cs="Arial"/>
          <w:b/>
          <w:sz w:val="22"/>
          <w:szCs w:val="22"/>
        </w:rPr>
        <w:t xml:space="preserve"> expreso y detallado de las normas que otorgan la competencia para la expedición del correspondiente acto</w:t>
      </w:r>
    </w:p>
    <w:p w14:paraId="783C6EE5" w14:textId="77777777" w:rsidR="00F64C28" w:rsidRPr="005B213C" w:rsidRDefault="00F64C28" w:rsidP="00F64C28">
      <w:pPr>
        <w:tabs>
          <w:tab w:val="left" w:pos="284"/>
        </w:tabs>
        <w:autoSpaceDE w:val="0"/>
        <w:autoSpaceDN w:val="0"/>
        <w:adjustRightInd w:val="0"/>
        <w:spacing w:after="0" w:line="240" w:lineRule="auto"/>
        <w:jc w:val="both"/>
        <w:rPr>
          <w:rFonts w:cs="Arial"/>
        </w:rPr>
      </w:pPr>
    </w:p>
    <w:p w14:paraId="417737CF" w14:textId="77777777" w:rsidR="009040BE" w:rsidRPr="005B213C" w:rsidRDefault="007010A4" w:rsidP="00F64C28">
      <w:pPr>
        <w:tabs>
          <w:tab w:val="left" w:pos="284"/>
        </w:tabs>
        <w:autoSpaceDE w:val="0"/>
        <w:autoSpaceDN w:val="0"/>
        <w:adjustRightInd w:val="0"/>
        <w:spacing w:after="0" w:line="240" w:lineRule="auto"/>
        <w:jc w:val="both"/>
        <w:rPr>
          <w:rFonts w:cs="Arial"/>
          <w:b/>
          <w:lang w:val="es-ES"/>
        </w:rPr>
      </w:pPr>
      <w:r w:rsidRPr="005B213C">
        <w:rPr>
          <w:rFonts w:cs="Arial"/>
          <w:b/>
          <w:lang w:val="es-ES"/>
        </w:rPr>
        <w:t xml:space="preserve">Artículo 365 de la </w:t>
      </w:r>
      <w:r w:rsidR="00F64C28" w:rsidRPr="005B213C">
        <w:rPr>
          <w:rFonts w:cs="Arial"/>
          <w:b/>
          <w:lang w:val="es-ES"/>
        </w:rPr>
        <w:t>Ley 1819 de 2016</w:t>
      </w:r>
      <w:r w:rsidR="00B32D17" w:rsidRPr="005B213C">
        <w:rPr>
          <w:rFonts w:cs="Arial"/>
          <w:b/>
          <w:lang w:val="es-ES"/>
        </w:rPr>
        <w:t xml:space="preserve">. </w:t>
      </w:r>
    </w:p>
    <w:p w14:paraId="15A4DA57" w14:textId="77777777" w:rsidR="00FE30FD" w:rsidRPr="005B213C" w:rsidRDefault="00FE30FD" w:rsidP="004C634F">
      <w:pPr>
        <w:autoSpaceDE w:val="0"/>
        <w:autoSpaceDN w:val="0"/>
        <w:adjustRightInd w:val="0"/>
        <w:spacing w:after="0" w:line="240" w:lineRule="auto"/>
        <w:jc w:val="both"/>
        <w:rPr>
          <w:rFonts w:cs="Arial"/>
          <w:lang w:val="es-ES"/>
        </w:rPr>
      </w:pPr>
    </w:p>
    <w:p w14:paraId="705902C9" w14:textId="77777777" w:rsidR="00F64C28" w:rsidRPr="005B213C" w:rsidRDefault="00F64C28" w:rsidP="00F64C28">
      <w:pPr>
        <w:shd w:val="clear" w:color="auto" w:fill="FFFFFF"/>
        <w:spacing w:after="0" w:line="240" w:lineRule="auto"/>
        <w:ind w:left="284" w:right="425"/>
        <w:jc w:val="both"/>
        <w:rPr>
          <w:rFonts w:cs="Arial"/>
          <w:i/>
        </w:rPr>
      </w:pPr>
      <w:r w:rsidRPr="005B213C">
        <w:rPr>
          <w:rFonts w:cs="Arial"/>
        </w:rPr>
        <w:t>“</w:t>
      </w:r>
      <w:r w:rsidRPr="005B213C">
        <w:rPr>
          <w:rFonts w:cs="Arial"/>
          <w:i/>
        </w:rPr>
        <w:t>Como incentivo al incremento de las inversiones en exploración de hidrocarburos y minería el Gobierno Nacional podrá otorgar, a partir de la entrada en vigencia de la presente Ley, un certificado de reembolso tributario (CERT) a los contribuyentes que incrementen dichas inversiones, el cual corresponderá a un porcentaje del valor del incremento. El valor del CERT constituirá un ingreso no constitutivo de renta ni ganancia ocasional para quien lo percibe o adquiere y podrá ser utilizado para el pago de impuestos de carácter nacional administrados por DIAN.</w:t>
      </w:r>
    </w:p>
    <w:p w14:paraId="21CCC84A" w14:textId="77777777" w:rsidR="00F64C28" w:rsidRPr="005B213C" w:rsidRDefault="00F64C28" w:rsidP="00F64C28">
      <w:pPr>
        <w:shd w:val="clear" w:color="auto" w:fill="FFFFFF"/>
        <w:spacing w:after="0" w:line="240" w:lineRule="auto"/>
        <w:ind w:left="284" w:right="425"/>
        <w:jc w:val="both"/>
        <w:rPr>
          <w:rFonts w:cs="Arial"/>
          <w:i/>
        </w:rPr>
      </w:pPr>
    </w:p>
    <w:p w14:paraId="482C8EAE" w14:textId="77777777" w:rsidR="00F64C28" w:rsidRPr="005B213C" w:rsidRDefault="00F64C28" w:rsidP="00F64C28">
      <w:pPr>
        <w:shd w:val="clear" w:color="auto" w:fill="FFFFFF"/>
        <w:spacing w:after="0" w:line="240" w:lineRule="auto"/>
        <w:ind w:left="284" w:right="425"/>
        <w:jc w:val="both"/>
        <w:rPr>
          <w:rFonts w:cs="Arial"/>
          <w:i/>
        </w:rPr>
      </w:pPr>
      <w:r w:rsidRPr="005B213C">
        <w:rPr>
          <w:rFonts w:cs="Arial"/>
          <w:i/>
        </w:rPr>
        <w:t xml:space="preserve">Las inversiones en el sector de hidrocarburos que darán lugar al otorgamiento del CERT serán exclusivamente aquellas que tengan por objeto el descubrimiento de nuevas reservas de hidrocarburos, la adición de reservas probadas o la incorporación de nuevas reservas recuperables, ya sea mediante actividades de exploración o mediante actividades dirigidas al aumento del factor de recobro en proyectos de cuencas en tierra firme, incluidas en este último caso las respectivas pruebas piloto. </w:t>
      </w:r>
    </w:p>
    <w:p w14:paraId="706A9435" w14:textId="77777777" w:rsidR="00F64C28" w:rsidRPr="005B213C" w:rsidRDefault="00F64C28" w:rsidP="00F64C28">
      <w:pPr>
        <w:shd w:val="clear" w:color="auto" w:fill="FFFFFF"/>
        <w:spacing w:after="0" w:line="240" w:lineRule="auto"/>
        <w:ind w:left="284" w:right="425"/>
        <w:jc w:val="both"/>
        <w:rPr>
          <w:rFonts w:cs="Arial"/>
          <w:i/>
        </w:rPr>
      </w:pPr>
    </w:p>
    <w:p w14:paraId="43C49DC7" w14:textId="77777777" w:rsidR="00F64C28" w:rsidRPr="005B213C" w:rsidRDefault="00F64C28" w:rsidP="00F64C28">
      <w:pPr>
        <w:shd w:val="clear" w:color="auto" w:fill="FFFFFF"/>
        <w:spacing w:after="0" w:line="240" w:lineRule="auto"/>
        <w:ind w:left="284" w:right="425"/>
        <w:jc w:val="both"/>
        <w:rPr>
          <w:rFonts w:cs="Arial"/>
          <w:i/>
        </w:rPr>
      </w:pPr>
      <w:r w:rsidRPr="005B213C">
        <w:rPr>
          <w:rFonts w:cs="Arial"/>
          <w:i/>
        </w:rPr>
        <w:t xml:space="preserve">En el sector de minería, las inversiones que podrán acceder al incentivo son las que tienen como objeto mantener o incrementar la producción de los proyectos actuales, </w:t>
      </w:r>
      <w:r w:rsidRPr="005B213C">
        <w:rPr>
          <w:rFonts w:cs="Arial"/>
          <w:i/>
        </w:rPr>
        <w:lastRenderedPageBreak/>
        <w:t>acelerar los proyectos que están en transición (de construcción y montaje a explotación) e incrementar los proyectos de exploración minera. Los titulares de los derechos de exploración de minerales deberán suscribir acuerdos de inversión con la Agencia Nacional Minera, de acuerdo con la reglamentación que para el efecto expida el Gobierno Nacional.</w:t>
      </w:r>
    </w:p>
    <w:p w14:paraId="68E5C41E" w14:textId="77777777" w:rsidR="00F64C28" w:rsidRPr="005B213C" w:rsidRDefault="00F64C28" w:rsidP="00F64C28">
      <w:pPr>
        <w:shd w:val="clear" w:color="auto" w:fill="FFFFFF"/>
        <w:spacing w:after="0" w:line="240" w:lineRule="auto"/>
        <w:ind w:left="284" w:right="425"/>
        <w:jc w:val="both"/>
        <w:rPr>
          <w:rFonts w:cs="Arial"/>
          <w:i/>
        </w:rPr>
      </w:pPr>
    </w:p>
    <w:p w14:paraId="51A19128" w14:textId="77777777" w:rsidR="00F64C28" w:rsidRPr="005B213C" w:rsidRDefault="00F64C28" w:rsidP="00F64C28">
      <w:pPr>
        <w:shd w:val="clear" w:color="auto" w:fill="FFFFFF"/>
        <w:spacing w:after="0" w:line="240" w:lineRule="auto"/>
        <w:ind w:left="284" w:right="425"/>
        <w:jc w:val="both"/>
        <w:rPr>
          <w:rFonts w:cs="Arial"/>
          <w:i/>
        </w:rPr>
      </w:pPr>
      <w:r w:rsidRPr="005B213C">
        <w:rPr>
          <w:rFonts w:cs="Arial"/>
          <w:i/>
        </w:rPr>
        <w:t>Los beneficiarios del presente incentivo, independientemente de que realicen las inversiones directamente o a través de un operador, serán los titulares de los contratos de exploración de hidrocarburos o quienes mediante un acuerdo de participación o explotación privada usufructúen los derechos emanados de tales contratos. El beneficiario directo del incentivo deberá demostrar su participación efectiva en las inversiones a través del operador del contrato, en caso que éste se encuentre determinado, de acuerdo con la reglamentación que el Gobierno Nacional expida.</w:t>
      </w:r>
    </w:p>
    <w:p w14:paraId="3E4A98B4" w14:textId="77777777" w:rsidR="00F64C28" w:rsidRPr="005B213C" w:rsidRDefault="00F64C28" w:rsidP="00F64C28">
      <w:pPr>
        <w:shd w:val="clear" w:color="auto" w:fill="FFFFFF"/>
        <w:spacing w:after="0" w:line="240" w:lineRule="auto"/>
        <w:ind w:left="284" w:right="425"/>
        <w:jc w:val="both"/>
        <w:rPr>
          <w:rFonts w:cs="Arial"/>
          <w:i/>
        </w:rPr>
      </w:pPr>
    </w:p>
    <w:p w14:paraId="4ED0FDD1" w14:textId="77777777" w:rsidR="00F64C28" w:rsidRPr="005B213C" w:rsidRDefault="00F64C28" w:rsidP="00F64C28">
      <w:pPr>
        <w:shd w:val="clear" w:color="auto" w:fill="FFFFFF"/>
        <w:spacing w:after="0" w:line="240" w:lineRule="auto"/>
        <w:ind w:left="284" w:right="425"/>
        <w:jc w:val="both"/>
        <w:rPr>
          <w:rFonts w:cs="Arial"/>
          <w:i/>
        </w:rPr>
      </w:pPr>
      <w:r w:rsidRPr="005B213C">
        <w:rPr>
          <w:rFonts w:cs="Arial"/>
          <w:i/>
        </w:rPr>
        <w:t>PARÁGRAFO 1. El Gobierno Nacional reglamentará el presente incentivo teniendo en cuenta entre otros, los siguientes criterios: (i) niveles de precios internacionales de referencia, (ii) niveles de inversiones, y (iii) metas de reservas y producción.</w:t>
      </w:r>
    </w:p>
    <w:p w14:paraId="42A61F41" w14:textId="77777777" w:rsidR="00F64C28" w:rsidRPr="005B213C" w:rsidRDefault="00F64C28" w:rsidP="00F64C28">
      <w:pPr>
        <w:shd w:val="clear" w:color="auto" w:fill="FFFFFF"/>
        <w:spacing w:after="0" w:line="240" w:lineRule="auto"/>
        <w:ind w:left="284" w:right="425"/>
        <w:jc w:val="both"/>
        <w:rPr>
          <w:rFonts w:cs="Arial"/>
          <w:i/>
        </w:rPr>
      </w:pPr>
    </w:p>
    <w:p w14:paraId="7A09E2C4" w14:textId="77777777" w:rsidR="007010A4" w:rsidRPr="005B213C" w:rsidRDefault="00F64C28" w:rsidP="00F64C28">
      <w:pPr>
        <w:shd w:val="clear" w:color="auto" w:fill="FFFFFF"/>
        <w:spacing w:after="0" w:line="240" w:lineRule="auto"/>
        <w:ind w:left="284" w:right="425"/>
        <w:jc w:val="both"/>
        <w:rPr>
          <w:rFonts w:cs="Arial"/>
          <w:i/>
        </w:rPr>
      </w:pPr>
      <w:r w:rsidRPr="005B213C">
        <w:rPr>
          <w:rFonts w:cs="Arial"/>
          <w:i/>
        </w:rPr>
        <w:t>PARÁGRAFO 2. El certificado será libremente negociable en el mercado de valores secundario, divisible y su redención sólo podrá realizarse a los dos años contados a partir de dicha fecha.”</w:t>
      </w:r>
    </w:p>
    <w:p w14:paraId="684D7775" w14:textId="77777777" w:rsidR="0050615B" w:rsidRPr="005B213C" w:rsidRDefault="0050615B" w:rsidP="004C634F">
      <w:pPr>
        <w:autoSpaceDE w:val="0"/>
        <w:autoSpaceDN w:val="0"/>
        <w:adjustRightInd w:val="0"/>
        <w:spacing w:after="0" w:line="240" w:lineRule="auto"/>
        <w:jc w:val="both"/>
        <w:rPr>
          <w:rFonts w:cs="Arial"/>
          <w:lang w:val="es-ES"/>
        </w:rPr>
      </w:pPr>
    </w:p>
    <w:p w14:paraId="7EEC9FE3" w14:textId="77777777" w:rsidR="0050615B" w:rsidRPr="005B213C" w:rsidRDefault="0050615B" w:rsidP="004C634F">
      <w:pPr>
        <w:autoSpaceDE w:val="0"/>
        <w:autoSpaceDN w:val="0"/>
        <w:adjustRightInd w:val="0"/>
        <w:spacing w:after="0" w:line="240" w:lineRule="auto"/>
        <w:jc w:val="both"/>
        <w:rPr>
          <w:rFonts w:cs="Arial"/>
          <w:b/>
          <w:lang w:val="es-ES"/>
        </w:rPr>
      </w:pPr>
      <w:r w:rsidRPr="005B213C">
        <w:rPr>
          <w:rFonts w:cs="Arial"/>
          <w:b/>
          <w:lang w:val="es-ES"/>
        </w:rPr>
        <w:t>Artículo 2.2.</w:t>
      </w:r>
      <w:r w:rsidR="00767D55">
        <w:rPr>
          <w:rFonts w:cs="Arial"/>
          <w:b/>
          <w:lang w:val="es-ES"/>
        </w:rPr>
        <w:t>6.2.7</w:t>
      </w:r>
      <w:r w:rsidR="00297F5C" w:rsidRPr="005B213C">
        <w:rPr>
          <w:rFonts w:cs="Arial"/>
          <w:b/>
          <w:lang w:val="es-ES"/>
        </w:rPr>
        <w:t>. del D</w:t>
      </w:r>
      <w:r w:rsidRPr="005B213C">
        <w:rPr>
          <w:rFonts w:cs="Arial"/>
          <w:b/>
          <w:lang w:val="es-ES"/>
        </w:rPr>
        <w:t>ecreto 1073 de 2015 adicionado por el art</w:t>
      </w:r>
      <w:r w:rsidR="00297F5C" w:rsidRPr="005B213C">
        <w:rPr>
          <w:rFonts w:cs="Arial"/>
          <w:b/>
          <w:lang w:val="es-ES"/>
        </w:rPr>
        <w:t>ículo 1 del D</w:t>
      </w:r>
      <w:r w:rsidRPr="005B213C">
        <w:rPr>
          <w:rFonts w:cs="Arial"/>
          <w:b/>
          <w:lang w:val="es-ES"/>
        </w:rPr>
        <w:t>ecreto 2253 de 2017.</w:t>
      </w:r>
    </w:p>
    <w:p w14:paraId="56BEC63E" w14:textId="77777777" w:rsidR="0050615B" w:rsidRPr="00936B46" w:rsidRDefault="0050615B" w:rsidP="0050615B">
      <w:pPr>
        <w:pStyle w:val="Prrafodelista"/>
        <w:spacing w:before="0"/>
        <w:ind w:left="0"/>
        <w:contextualSpacing w:val="0"/>
        <w:rPr>
          <w:rFonts w:ascii="Arial" w:eastAsia="Times New Roman" w:hAnsi="Arial" w:cs="Arial"/>
          <w:color w:val="000000"/>
          <w:lang w:eastAsia="es-CO"/>
        </w:rPr>
      </w:pPr>
    </w:p>
    <w:p w14:paraId="6FC81F3F" w14:textId="77777777" w:rsidR="00767D55" w:rsidRPr="00767D55" w:rsidRDefault="0050615B" w:rsidP="00767D55">
      <w:pPr>
        <w:shd w:val="clear" w:color="auto" w:fill="FFFFFF"/>
        <w:spacing w:after="0" w:line="240" w:lineRule="auto"/>
        <w:ind w:left="284" w:right="425"/>
        <w:jc w:val="both"/>
        <w:rPr>
          <w:rFonts w:cs="Arial"/>
          <w:i/>
        </w:rPr>
      </w:pPr>
      <w:r w:rsidRPr="005B213C">
        <w:rPr>
          <w:rFonts w:cs="Arial"/>
        </w:rPr>
        <w:t>“</w:t>
      </w:r>
      <w:r w:rsidR="00767D55" w:rsidRPr="00767D55">
        <w:rPr>
          <w:rFonts w:cs="Arial"/>
          <w:i/>
        </w:rPr>
        <w:t>La ANH, ajustará el porcentaje base del CERT de los contratos cada año, a partir del cual se distribuirán inicialmente los montos disponibles del CERT a los contratos en fase de exploración de hidrocarburos o campos comerciales elegibles que, para el año de ejecución, previamente han sido beneficiados en la distribución inicial en procesos desarrollados en años anteriores.</w:t>
      </w:r>
    </w:p>
    <w:p w14:paraId="6B63B536" w14:textId="77777777" w:rsidR="00767D55" w:rsidRPr="00767D55" w:rsidRDefault="00767D55" w:rsidP="00767D55">
      <w:pPr>
        <w:shd w:val="clear" w:color="auto" w:fill="FFFFFF"/>
        <w:spacing w:after="0" w:line="240" w:lineRule="auto"/>
        <w:ind w:left="284" w:right="425"/>
        <w:jc w:val="both"/>
        <w:rPr>
          <w:rFonts w:cs="Arial"/>
          <w:i/>
        </w:rPr>
      </w:pPr>
    </w:p>
    <w:p w14:paraId="6B2BC63C" w14:textId="77777777" w:rsidR="00767D55" w:rsidRPr="00767D55" w:rsidRDefault="00767D55" w:rsidP="00767D55">
      <w:pPr>
        <w:shd w:val="clear" w:color="auto" w:fill="FFFFFF"/>
        <w:spacing w:after="0" w:line="240" w:lineRule="auto"/>
        <w:ind w:left="284" w:right="425"/>
        <w:jc w:val="both"/>
        <w:rPr>
          <w:rFonts w:cs="Arial"/>
          <w:i/>
        </w:rPr>
      </w:pPr>
      <w:r w:rsidRPr="00767D55">
        <w:rPr>
          <w:rFonts w:cs="Arial"/>
          <w:i/>
        </w:rPr>
        <w:t>Para estos efectos calculará un factor multiplicador (</w:t>
      </w:r>
      <w:r w:rsidRPr="00767D55">
        <w:rPr>
          <w:rFonts w:ascii="Cambria Math" w:eastAsia="Cambria Math" w:hAnsi="Cambria Math" w:cs="Cambria Math" w:hint="eastAsia"/>
          <w:i/>
        </w:rPr>
        <w:t>〖</w:t>
      </w:r>
      <w:r w:rsidRPr="00767D55">
        <w:rPr>
          <w:rFonts w:cs="Arial"/>
          <w:i/>
        </w:rPr>
        <w:t>FM</w:t>
      </w:r>
      <w:r w:rsidRPr="00767D55">
        <w:rPr>
          <w:rFonts w:ascii="Cambria Math" w:eastAsia="Cambria Math" w:hAnsi="Cambria Math" w:cs="Cambria Math" w:hint="eastAsia"/>
          <w:i/>
        </w:rPr>
        <w:t>〗</w:t>
      </w:r>
      <w:r w:rsidRPr="00767D55">
        <w:rPr>
          <w:rFonts w:cs="Arial"/>
          <w:i/>
        </w:rPr>
        <w:t>_t) que resulta del promedio aritmético diario de los seis meses calendario inmediatamente anteriores al mes del acto administrativo de apertura del precio BRENT.</w:t>
      </w:r>
    </w:p>
    <w:p w14:paraId="0960E21D" w14:textId="77777777" w:rsidR="00767D55" w:rsidRPr="00767D55" w:rsidRDefault="00767D55" w:rsidP="00767D55">
      <w:pPr>
        <w:shd w:val="clear" w:color="auto" w:fill="FFFFFF"/>
        <w:spacing w:after="0" w:line="240" w:lineRule="auto"/>
        <w:ind w:left="284" w:right="425"/>
        <w:jc w:val="both"/>
        <w:rPr>
          <w:rFonts w:cs="Arial"/>
          <w:i/>
        </w:rPr>
      </w:pPr>
    </w:p>
    <w:p w14:paraId="64CF1ED1" w14:textId="77777777" w:rsidR="00767D55" w:rsidRPr="00767D55" w:rsidRDefault="00767D55" w:rsidP="00767D55">
      <w:pPr>
        <w:shd w:val="clear" w:color="auto" w:fill="FFFFFF"/>
        <w:spacing w:after="0" w:line="240" w:lineRule="auto"/>
        <w:ind w:left="284" w:right="425"/>
        <w:jc w:val="both"/>
        <w:rPr>
          <w:rFonts w:cs="Arial"/>
          <w:i/>
        </w:rPr>
      </w:pPr>
      <w:r w:rsidRPr="00767D55">
        <w:rPr>
          <w:rFonts w:cs="Arial"/>
          <w:i/>
        </w:rPr>
        <w:t>Una vez calculado el factor multiplicador, se procederá al cálculo del porcentaje base del CERT ajustado para cada contrato, así:</w:t>
      </w:r>
    </w:p>
    <w:p w14:paraId="78DE1F2C" w14:textId="77777777" w:rsidR="00767D55" w:rsidRPr="00767D55" w:rsidRDefault="00767D55" w:rsidP="00767D55">
      <w:pPr>
        <w:shd w:val="clear" w:color="auto" w:fill="FFFFFF"/>
        <w:spacing w:after="0" w:line="240" w:lineRule="auto"/>
        <w:ind w:left="284" w:right="425"/>
        <w:jc w:val="both"/>
        <w:rPr>
          <w:rFonts w:cs="Arial"/>
          <w:i/>
        </w:rPr>
      </w:pPr>
    </w:p>
    <w:p w14:paraId="7C5EE6B9" w14:textId="77777777" w:rsidR="00767D55" w:rsidRPr="00767D55" w:rsidRDefault="00767D55" w:rsidP="00767D55">
      <w:pPr>
        <w:shd w:val="clear" w:color="auto" w:fill="FFFFFF"/>
        <w:spacing w:after="0" w:line="240" w:lineRule="auto"/>
        <w:ind w:left="284" w:right="425"/>
        <w:jc w:val="both"/>
        <w:rPr>
          <w:rFonts w:cs="Arial"/>
          <w:i/>
        </w:rPr>
      </w:pPr>
      <w:r w:rsidRPr="00767D55">
        <w:rPr>
          <w:rFonts w:ascii="Cambria Math" w:eastAsia="Cambria Math" w:hAnsi="Cambria Math" w:cs="Cambria Math" w:hint="eastAsia"/>
          <w:i/>
        </w:rPr>
        <w:t>〖</w:t>
      </w:r>
      <w:r w:rsidRPr="00767D55">
        <w:rPr>
          <w:rFonts w:cs="Arial"/>
          <w:i/>
        </w:rPr>
        <w:t>PBAl</w:t>
      </w:r>
      <w:r w:rsidRPr="00767D55">
        <w:rPr>
          <w:rFonts w:ascii="Cambria Math" w:eastAsia="Cambria Math" w:hAnsi="Cambria Math" w:cs="Cambria Math" w:hint="eastAsia"/>
          <w:i/>
        </w:rPr>
        <w:t>〗</w:t>
      </w:r>
      <w:r w:rsidRPr="00767D55">
        <w:rPr>
          <w:rFonts w:cs="Arial"/>
          <w:i/>
        </w:rPr>
        <w:t>_(</w:t>
      </w:r>
      <w:proofErr w:type="gramStart"/>
      <w:r w:rsidRPr="00767D55">
        <w:rPr>
          <w:rFonts w:cs="Arial"/>
          <w:i/>
        </w:rPr>
        <w:t>CERT,jt</w:t>
      </w:r>
      <w:proofErr w:type="gramEnd"/>
      <w:r w:rsidRPr="00767D55">
        <w:rPr>
          <w:rFonts w:cs="Arial"/>
          <w:i/>
        </w:rPr>
        <w:t>)=</w:t>
      </w:r>
      <w:r w:rsidRPr="00767D55">
        <w:rPr>
          <w:rFonts w:ascii="Cambria Math" w:eastAsia="Cambria Math" w:hAnsi="Cambria Math" w:cs="Cambria Math" w:hint="eastAsia"/>
          <w:i/>
        </w:rPr>
        <w:t>〖</w:t>
      </w:r>
      <w:r w:rsidRPr="00767D55">
        <w:rPr>
          <w:rFonts w:cs="Arial"/>
          <w:i/>
        </w:rPr>
        <w:t>PB</w:t>
      </w:r>
      <w:r w:rsidRPr="00767D55">
        <w:rPr>
          <w:rFonts w:ascii="Cambria Math" w:eastAsia="Cambria Math" w:hAnsi="Cambria Math" w:cs="Cambria Math" w:hint="eastAsia"/>
          <w:i/>
        </w:rPr>
        <w:t>〗</w:t>
      </w:r>
      <w:r w:rsidRPr="00767D55">
        <w:rPr>
          <w:rFonts w:cs="Arial"/>
          <w:i/>
        </w:rPr>
        <w:t>_(CERT,jt)*</w:t>
      </w:r>
      <w:r w:rsidRPr="00767D55">
        <w:rPr>
          <w:rFonts w:ascii="Cambria Math" w:eastAsia="Cambria Math" w:hAnsi="Cambria Math" w:cs="Cambria Math" w:hint="eastAsia"/>
          <w:i/>
        </w:rPr>
        <w:t>〖</w:t>
      </w:r>
      <w:r w:rsidRPr="00767D55">
        <w:rPr>
          <w:rFonts w:cs="Arial"/>
          <w:i/>
        </w:rPr>
        <w:t>FM</w:t>
      </w:r>
      <w:r w:rsidRPr="00767D55">
        <w:rPr>
          <w:rFonts w:ascii="Cambria Math" w:eastAsia="Cambria Math" w:hAnsi="Cambria Math" w:cs="Cambria Math" w:hint="eastAsia"/>
          <w:i/>
        </w:rPr>
        <w:t>〗</w:t>
      </w:r>
      <w:r w:rsidRPr="00767D55">
        <w:rPr>
          <w:rFonts w:cs="Arial"/>
          <w:i/>
        </w:rPr>
        <w:t>_t</w:t>
      </w:r>
    </w:p>
    <w:p w14:paraId="5FC63E44" w14:textId="77777777" w:rsidR="00767D55" w:rsidRDefault="00767D55" w:rsidP="00767D55">
      <w:pPr>
        <w:shd w:val="clear" w:color="auto" w:fill="FFFFFF"/>
        <w:spacing w:after="0" w:line="240" w:lineRule="auto"/>
        <w:ind w:left="284" w:right="425"/>
        <w:jc w:val="both"/>
        <w:rPr>
          <w:rFonts w:cs="Arial"/>
          <w:i/>
        </w:rPr>
      </w:pPr>
    </w:p>
    <w:p w14:paraId="534FA8AB" w14:textId="77777777" w:rsidR="00767D55" w:rsidRPr="00767D55" w:rsidRDefault="00767D55" w:rsidP="00767D55">
      <w:pPr>
        <w:shd w:val="clear" w:color="auto" w:fill="FFFFFF"/>
        <w:spacing w:after="0" w:line="240" w:lineRule="auto"/>
        <w:ind w:left="284" w:right="425"/>
        <w:jc w:val="both"/>
        <w:rPr>
          <w:rFonts w:cs="Arial"/>
          <w:i/>
        </w:rPr>
      </w:pPr>
      <w:r w:rsidRPr="00767D55">
        <w:rPr>
          <w:rFonts w:cs="Arial"/>
          <w:i/>
        </w:rPr>
        <w:t>Donde:</w:t>
      </w:r>
    </w:p>
    <w:p w14:paraId="32068C87" w14:textId="77777777" w:rsidR="00767D55" w:rsidRPr="00767D55" w:rsidRDefault="00767D55" w:rsidP="00767D55">
      <w:pPr>
        <w:shd w:val="clear" w:color="auto" w:fill="FFFFFF"/>
        <w:spacing w:after="0" w:line="240" w:lineRule="auto"/>
        <w:ind w:left="284" w:right="425"/>
        <w:jc w:val="both"/>
        <w:rPr>
          <w:rFonts w:cs="Arial"/>
          <w:i/>
        </w:rPr>
      </w:pPr>
    </w:p>
    <w:p w14:paraId="4049D9CE" w14:textId="77777777" w:rsidR="00767D55" w:rsidRPr="00767D55" w:rsidRDefault="00767D55" w:rsidP="00767D55">
      <w:pPr>
        <w:shd w:val="clear" w:color="auto" w:fill="FFFFFF"/>
        <w:spacing w:after="0" w:line="240" w:lineRule="auto"/>
        <w:ind w:left="284" w:right="425"/>
        <w:jc w:val="both"/>
        <w:rPr>
          <w:rFonts w:cs="Arial"/>
          <w:i/>
        </w:rPr>
      </w:pPr>
      <w:r w:rsidRPr="00767D55">
        <w:rPr>
          <w:rFonts w:ascii="Cambria Math" w:eastAsia="Cambria Math" w:hAnsi="Cambria Math" w:cs="Cambria Math" w:hint="eastAsia"/>
          <w:i/>
        </w:rPr>
        <w:lastRenderedPageBreak/>
        <w:t>〖</w:t>
      </w:r>
      <w:r w:rsidRPr="00767D55">
        <w:rPr>
          <w:rFonts w:cs="Arial"/>
          <w:i/>
        </w:rPr>
        <w:t>PB</w:t>
      </w:r>
      <w:r w:rsidRPr="00767D55">
        <w:rPr>
          <w:rFonts w:ascii="Cambria Math" w:eastAsia="Cambria Math" w:hAnsi="Cambria Math" w:cs="Cambria Math" w:hint="eastAsia"/>
          <w:i/>
        </w:rPr>
        <w:t>〗</w:t>
      </w:r>
      <w:r w:rsidRPr="00767D55">
        <w:rPr>
          <w:rFonts w:cs="Arial"/>
          <w:i/>
        </w:rPr>
        <w:t>_(</w:t>
      </w:r>
      <w:proofErr w:type="gramStart"/>
      <w:r w:rsidRPr="00767D55">
        <w:rPr>
          <w:rFonts w:cs="Arial"/>
          <w:i/>
        </w:rPr>
        <w:t>CERT,jt</w:t>
      </w:r>
      <w:proofErr w:type="gramEnd"/>
      <w:r w:rsidRPr="00767D55">
        <w:rPr>
          <w:rFonts w:cs="Arial"/>
          <w:i/>
        </w:rPr>
        <w:t>): Porcentaje base de CERT que se calcula de acuerdo a lo establecido en el artículo 2.2.6.2.3</w:t>
      </w:r>
    </w:p>
    <w:p w14:paraId="6C35879A" w14:textId="77777777" w:rsidR="00767D55" w:rsidRPr="00767D55" w:rsidRDefault="00767D55" w:rsidP="00767D55">
      <w:pPr>
        <w:shd w:val="clear" w:color="auto" w:fill="FFFFFF"/>
        <w:spacing w:after="0" w:line="240" w:lineRule="auto"/>
        <w:ind w:left="284" w:right="425"/>
        <w:jc w:val="both"/>
        <w:rPr>
          <w:rFonts w:cs="Arial"/>
          <w:i/>
        </w:rPr>
      </w:pPr>
    </w:p>
    <w:p w14:paraId="5CA021FE" w14:textId="77777777" w:rsidR="00767D55" w:rsidRPr="00767D55" w:rsidRDefault="00767D55" w:rsidP="00767D55">
      <w:pPr>
        <w:shd w:val="clear" w:color="auto" w:fill="FFFFFF"/>
        <w:spacing w:after="0" w:line="240" w:lineRule="auto"/>
        <w:ind w:left="284" w:right="425"/>
        <w:jc w:val="both"/>
        <w:rPr>
          <w:rFonts w:cs="Arial"/>
          <w:i/>
        </w:rPr>
      </w:pPr>
      <w:r w:rsidRPr="00767D55">
        <w:rPr>
          <w:rFonts w:ascii="Cambria Math" w:eastAsia="Cambria Math" w:hAnsi="Cambria Math" w:cs="Cambria Math" w:hint="eastAsia"/>
          <w:i/>
        </w:rPr>
        <w:t>〖</w:t>
      </w:r>
      <w:r w:rsidRPr="00767D55">
        <w:rPr>
          <w:rFonts w:cs="Arial"/>
          <w:i/>
        </w:rPr>
        <w:t>FM</w:t>
      </w:r>
      <w:r w:rsidRPr="00767D55">
        <w:rPr>
          <w:rFonts w:ascii="Cambria Math" w:eastAsia="Cambria Math" w:hAnsi="Cambria Math" w:cs="Cambria Math" w:hint="eastAsia"/>
          <w:i/>
        </w:rPr>
        <w:t>〗</w:t>
      </w:r>
      <w:r w:rsidRPr="00767D55">
        <w:rPr>
          <w:rFonts w:cs="Arial"/>
          <w:i/>
        </w:rPr>
        <w:t>_t:        Factor multiplicador en el año t que se calcula de acuerdo a lo establecido en este artículo.</w:t>
      </w:r>
    </w:p>
    <w:p w14:paraId="064501A4" w14:textId="77777777" w:rsidR="00767D55" w:rsidRPr="00767D55" w:rsidRDefault="00767D55" w:rsidP="00767D55">
      <w:pPr>
        <w:shd w:val="clear" w:color="auto" w:fill="FFFFFF"/>
        <w:spacing w:after="0" w:line="240" w:lineRule="auto"/>
        <w:ind w:left="284" w:right="425"/>
        <w:jc w:val="both"/>
        <w:rPr>
          <w:rFonts w:cs="Arial"/>
          <w:i/>
        </w:rPr>
      </w:pPr>
    </w:p>
    <w:p w14:paraId="205CA76E" w14:textId="77777777" w:rsidR="00767D55" w:rsidRPr="00767D55" w:rsidRDefault="00767D55" w:rsidP="00767D55">
      <w:pPr>
        <w:shd w:val="clear" w:color="auto" w:fill="FFFFFF"/>
        <w:spacing w:after="0" w:line="240" w:lineRule="auto"/>
        <w:ind w:left="284" w:right="425"/>
        <w:jc w:val="both"/>
        <w:rPr>
          <w:rFonts w:cs="Arial"/>
          <w:i/>
        </w:rPr>
      </w:pPr>
      <w:r w:rsidRPr="00767D55">
        <w:rPr>
          <w:rFonts w:cs="Arial"/>
          <w:i/>
        </w:rPr>
        <w:t>Dicho Factor de Ajuste depende del nivel internacional de precios del petróleo crudo, que variará en función de un rango que tomará como valor mínimo y máximo aquellos que sean fijados anualmente por el Ministerio de Hacienda y Crédito Público y el Ministerio de Minas y Energía. En caso de que el precio promedio BRENT sea inferior al valor mínimo del rango o sea superior al valor máximo del rango, de acuerdo con los valores que anualmente determine el Ministerio de Minas y Energía, dicho factor será igual a cero (0). En este caso, para los proyectos de más de un año de ejecución, el Factor de Ajuste será el mismo que se usó en la distribución inicial de CERT del año en que fueron presentados.</w:t>
      </w:r>
    </w:p>
    <w:p w14:paraId="1D8FD8F1" w14:textId="77777777" w:rsidR="00767D55" w:rsidRPr="00767D55" w:rsidRDefault="00767D55" w:rsidP="00767D55">
      <w:pPr>
        <w:shd w:val="clear" w:color="auto" w:fill="FFFFFF"/>
        <w:spacing w:after="0" w:line="240" w:lineRule="auto"/>
        <w:ind w:left="284" w:right="425"/>
        <w:jc w:val="both"/>
        <w:rPr>
          <w:rFonts w:cs="Arial"/>
          <w:i/>
        </w:rPr>
      </w:pPr>
    </w:p>
    <w:p w14:paraId="32824EF2" w14:textId="77777777" w:rsidR="0050615B" w:rsidRPr="005B213C" w:rsidRDefault="00767D55" w:rsidP="00767D55">
      <w:pPr>
        <w:shd w:val="clear" w:color="auto" w:fill="FFFFFF"/>
        <w:spacing w:after="0" w:line="240" w:lineRule="auto"/>
        <w:ind w:left="284" w:right="425"/>
        <w:jc w:val="both"/>
        <w:rPr>
          <w:rFonts w:cs="Arial"/>
          <w:i/>
        </w:rPr>
      </w:pPr>
      <w:r w:rsidRPr="00767D55">
        <w:rPr>
          <w:rFonts w:cs="Arial"/>
          <w:i/>
        </w:rPr>
        <w:t>Parágrafo. Para efectos de lo anterior, se utilizará el Precio Promedio del BRENT, con base en la base de datos Spot Price FOB, tomada del “US Energy I</w:t>
      </w:r>
      <w:r>
        <w:rPr>
          <w:rFonts w:cs="Arial"/>
          <w:i/>
        </w:rPr>
        <w:t>nformation Administration, EIA”</w:t>
      </w:r>
      <w:r w:rsidR="0050615B" w:rsidRPr="005B213C">
        <w:rPr>
          <w:rFonts w:cs="Arial"/>
          <w:i/>
        </w:rPr>
        <w:t>”</w:t>
      </w:r>
      <w:r>
        <w:rPr>
          <w:rFonts w:cs="Arial"/>
          <w:i/>
        </w:rPr>
        <w:t>.</w:t>
      </w:r>
    </w:p>
    <w:p w14:paraId="4C1B78FF" w14:textId="77777777" w:rsidR="00767D55" w:rsidRDefault="00767D55" w:rsidP="0050615B">
      <w:pPr>
        <w:shd w:val="clear" w:color="auto" w:fill="FFFFFF"/>
        <w:spacing w:after="0" w:line="240" w:lineRule="auto"/>
        <w:ind w:right="425"/>
        <w:jc w:val="both"/>
        <w:rPr>
          <w:rFonts w:cs="Arial"/>
        </w:rPr>
      </w:pPr>
    </w:p>
    <w:p w14:paraId="54FDBBBB" w14:textId="77777777" w:rsidR="00C5395F" w:rsidRPr="005B213C" w:rsidRDefault="00321D88" w:rsidP="0050615B">
      <w:pPr>
        <w:shd w:val="clear" w:color="auto" w:fill="FFFFFF"/>
        <w:spacing w:after="0" w:line="240" w:lineRule="auto"/>
        <w:ind w:right="425"/>
        <w:jc w:val="both"/>
        <w:rPr>
          <w:rFonts w:cs="Arial"/>
        </w:rPr>
      </w:pPr>
      <w:r w:rsidRPr="005B213C">
        <w:rPr>
          <w:rFonts w:cs="Arial"/>
        </w:rPr>
        <w:t xml:space="preserve">El marco normativo señalado otorga competencia </w:t>
      </w:r>
      <w:r w:rsidR="00C5395F" w:rsidRPr="005B213C">
        <w:rPr>
          <w:rFonts w:cs="Arial"/>
        </w:rPr>
        <w:t>al Gobierno Nacional para reglamentar</w:t>
      </w:r>
      <w:r w:rsidR="00B364DA" w:rsidRPr="005B213C">
        <w:rPr>
          <w:rFonts w:cs="Arial"/>
        </w:rPr>
        <w:t xml:space="preserve"> todo lo relacionado con el incentivo CERT y le exige al Ministerio de Minas y Energía</w:t>
      </w:r>
      <w:r w:rsidR="00767D55">
        <w:rPr>
          <w:rFonts w:cs="Arial"/>
        </w:rPr>
        <w:t xml:space="preserve"> y al Ministerio de Hacienda y Crédito Público establecer el rango de precios de crudo para efectos de la determinación del Factor Multiplicador. </w:t>
      </w:r>
      <w:r w:rsidR="00B364DA" w:rsidRPr="005B213C">
        <w:rPr>
          <w:rFonts w:cs="Arial"/>
        </w:rPr>
        <w:t xml:space="preserve"> </w:t>
      </w:r>
    </w:p>
    <w:p w14:paraId="2517E0C2" w14:textId="77777777" w:rsidR="00F01EF6" w:rsidRPr="005B213C" w:rsidRDefault="00F01EF6" w:rsidP="004C634F">
      <w:pPr>
        <w:autoSpaceDE w:val="0"/>
        <w:autoSpaceDN w:val="0"/>
        <w:adjustRightInd w:val="0"/>
        <w:spacing w:after="0" w:line="240" w:lineRule="auto"/>
        <w:jc w:val="both"/>
        <w:rPr>
          <w:rFonts w:cs="Arial"/>
          <w:lang w:val="es-ES"/>
        </w:rPr>
      </w:pPr>
    </w:p>
    <w:p w14:paraId="20163491" w14:textId="77777777" w:rsidR="00D5445E" w:rsidRPr="005B213C" w:rsidRDefault="00D5445E" w:rsidP="004C634F">
      <w:pPr>
        <w:autoSpaceDE w:val="0"/>
        <w:autoSpaceDN w:val="0"/>
        <w:adjustRightInd w:val="0"/>
        <w:spacing w:after="0" w:line="240" w:lineRule="auto"/>
        <w:jc w:val="both"/>
        <w:rPr>
          <w:rFonts w:cs="Arial"/>
          <w:b/>
        </w:rPr>
      </w:pPr>
      <w:r w:rsidRPr="005B213C">
        <w:rPr>
          <w:rFonts w:cs="Arial"/>
          <w:b/>
        </w:rPr>
        <w:t>3.2</w:t>
      </w:r>
      <w:r w:rsidR="00EC2B07" w:rsidRPr="005B213C">
        <w:rPr>
          <w:rFonts w:cs="Arial"/>
          <w:b/>
        </w:rPr>
        <w:t>. La</w:t>
      </w:r>
      <w:r w:rsidRPr="005B213C">
        <w:rPr>
          <w:rFonts w:cs="Arial"/>
          <w:b/>
        </w:rPr>
        <w:t xml:space="preserve"> vigencia de la ley o norma reglamentada o desarrollada</w:t>
      </w:r>
    </w:p>
    <w:p w14:paraId="0EEB5A19" w14:textId="77777777" w:rsidR="00D5445E" w:rsidRPr="005B213C" w:rsidRDefault="00D5445E" w:rsidP="004C634F">
      <w:pPr>
        <w:autoSpaceDE w:val="0"/>
        <w:autoSpaceDN w:val="0"/>
        <w:adjustRightInd w:val="0"/>
        <w:spacing w:after="0" w:line="240" w:lineRule="auto"/>
        <w:jc w:val="both"/>
        <w:rPr>
          <w:rFonts w:cs="Arial"/>
        </w:rPr>
      </w:pPr>
    </w:p>
    <w:p w14:paraId="75EC2621" w14:textId="77777777" w:rsidR="007265C6" w:rsidRPr="005B213C" w:rsidRDefault="0064657C" w:rsidP="004C634F">
      <w:pPr>
        <w:autoSpaceDE w:val="0"/>
        <w:autoSpaceDN w:val="0"/>
        <w:adjustRightInd w:val="0"/>
        <w:spacing w:after="0" w:line="240" w:lineRule="auto"/>
        <w:jc w:val="both"/>
        <w:rPr>
          <w:rFonts w:cs="Arial"/>
        </w:rPr>
      </w:pPr>
      <w:r w:rsidRPr="005B213C">
        <w:rPr>
          <w:rFonts w:cs="Arial"/>
        </w:rPr>
        <w:t>L</w:t>
      </w:r>
      <w:r w:rsidR="007265C6" w:rsidRPr="005B213C">
        <w:rPr>
          <w:rFonts w:cs="Arial"/>
          <w:lang w:val="es-ES"/>
        </w:rPr>
        <w:t>a Ley 1819 de 2016</w:t>
      </w:r>
      <w:r w:rsidR="00B364DA" w:rsidRPr="005B213C">
        <w:rPr>
          <w:rFonts w:cs="Arial"/>
          <w:lang w:val="es-ES"/>
        </w:rPr>
        <w:t xml:space="preserve"> </w:t>
      </w:r>
      <w:r w:rsidR="004130D6" w:rsidRPr="005B213C">
        <w:rPr>
          <w:rFonts w:cs="Arial"/>
          <w:lang w:val="es-ES"/>
        </w:rPr>
        <w:t xml:space="preserve">fue publicada en el Diario Oficial </w:t>
      </w:r>
      <w:r w:rsidR="00B364DA" w:rsidRPr="005B213C">
        <w:rPr>
          <w:rFonts w:cs="Arial"/>
          <w:lang w:val="es-ES"/>
        </w:rPr>
        <w:t xml:space="preserve">No. </w:t>
      </w:r>
      <w:r w:rsidR="004130D6" w:rsidRPr="005B213C">
        <w:rPr>
          <w:rFonts w:cs="Arial"/>
          <w:lang w:val="es-ES"/>
        </w:rPr>
        <w:t xml:space="preserve">50.101 del 29 de diciembre de 2016 y </w:t>
      </w:r>
      <w:r w:rsidRPr="005B213C">
        <w:rPr>
          <w:rFonts w:cs="Arial"/>
          <w:lang w:val="es-ES"/>
        </w:rPr>
        <w:t>se encuentra vigente</w:t>
      </w:r>
      <w:r w:rsidR="00B364DA" w:rsidRPr="005B213C">
        <w:rPr>
          <w:rFonts w:cs="Arial"/>
        </w:rPr>
        <w:t>. Así mismo, el Decreto 2253 de 2017 fue publicado en el Diario Oficial No. 50.461 del 29 de diciembre de 2017 y se encuentra vigente.</w:t>
      </w:r>
    </w:p>
    <w:p w14:paraId="7F7FB0E7" w14:textId="77777777" w:rsidR="00B32D17" w:rsidRPr="005B213C" w:rsidRDefault="00B32D17" w:rsidP="004C634F">
      <w:pPr>
        <w:autoSpaceDE w:val="0"/>
        <w:autoSpaceDN w:val="0"/>
        <w:adjustRightInd w:val="0"/>
        <w:spacing w:after="0" w:line="240" w:lineRule="auto"/>
        <w:jc w:val="both"/>
        <w:rPr>
          <w:rFonts w:cs="Arial"/>
        </w:rPr>
      </w:pPr>
    </w:p>
    <w:p w14:paraId="60B283EE" w14:textId="77777777" w:rsidR="00D5445E" w:rsidRPr="005B213C" w:rsidRDefault="00D5445E" w:rsidP="004C634F">
      <w:pPr>
        <w:autoSpaceDE w:val="0"/>
        <w:autoSpaceDN w:val="0"/>
        <w:adjustRightInd w:val="0"/>
        <w:spacing w:after="0" w:line="240" w:lineRule="auto"/>
        <w:jc w:val="both"/>
        <w:rPr>
          <w:rFonts w:cs="Arial"/>
          <w:b/>
        </w:rPr>
      </w:pPr>
      <w:r w:rsidRPr="005B213C">
        <w:rPr>
          <w:rFonts w:cs="Arial"/>
          <w:b/>
        </w:rPr>
        <w:t>3.3</w:t>
      </w:r>
      <w:r w:rsidR="00EC2B07" w:rsidRPr="005B213C">
        <w:rPr>
          <w:rFonts w:cs="Arial"/>
          <w:b/>
        </w:rPr>
        <w:t>. Las</w:t>
      </w:r>
      <w:r w:rsidRPr="005B213C">
        <w:rPr>
          <w:rFonts w:cs="Arial"/>
          <w:b/>
        </w:rPr>
        <w:t xml:space="preserve"> disposiciones derogadas, subrogadas, modificadas, adicionadas o sustituidas, si alguno de estos efectos se produce con la expedición del respectivo acto</w:t>
      </w:r>
    </w:p>
    <w:p w14:paraId="3B7C1E99" w14:textId="77777777" w:rsidR="006600C7" w:rsidRPr="005B213C" w:rsidRDefault="00614FCF" w:rsidP="004C634F">
      <w:pPr>
        <w:shd w:val="clear" w:color="auto" w:fill="FFFFFF"/>
        <w:spacing w:after="0" w:line="240" w:lineRule="auto"/>
        <w:jc w:val="both"/>
        <w:rPr>
          <w:rFonts w:eastAsia="Times New Roman" w:cs="Arial"/>
          <w:color w:val="222222"/>
          <w:lang w:eastAsia="es-CO"/>
        </w:rPr>
      </w:pPr>
      <w:r w:rsidRPr="005B213C">
        <w:rPr>
          <w:rFonts w:eastAsia="Times New Roman" w:cs="Arial"/>
          <w:color w:val="222222"/>
          <w:lang w:eastAsia="es-CO"/>
        </w:rPr>
        <w:t> </w:t>
      </w:r>
    </w:p>
    <w:p w14:paraId="23AEA4F5" w14:textId="77777777" w:rsidR="00A827CF" w:rsidRPr="005B213C" w:rsidRDefault="00B364DA" w:rsidP="00A827CF">
      <w:pPr>
        <w:spacing w:after="0" w:line="240" w:lineRule="auto"/>
        <w:jc w:val="both"/>
        <w:rPr>
          <w:rFonts w:cs="Arial"/>
        </w:rPr>
      </w:pPr>
      <w:r w:rsidRPr="005B213C">
        <w:rPr>
          <w:rFonts w:cs="Arial"/>
        </w:rPr>
        <w:t>Con la norma planteada no se está derogando, subrogando, modificando, adicionando o sustituyendo ninguna disposición.</w:t>
      </w:r>
    </w:p>
    <w:p w14:paraId="7DFB0884" w14:textId="77777777" w:rsidR="00B32D17" w:rsidRPr="005B213C" w:rsidRDefault="00B32D17" w:rsidP="004C634F">
      <w:pPr>
        <w:tabs>
          <w:tab w:val="left" w:pos="9498"/>
        </w:tabs>
        <w:spacing w:after="0" w:line="240" w:lineRule="auto"/>
        <w:jc w:val="both"/>
        <w:rPr>
          <w:rFonts w:cs="Arial"/>
          <w:color w:val="000000"/>
        </w:rPr>
      </w:pPr>
    </w:p>
    <w:p w14:paraId="2282B507" w14:textId="77777777" w:rsidR="00E332D5" w:rsidRPr="005B213C" w:rsidRDefault="00E332D5" w:rsidP="004C634F">
      <w:pPr>
        <w:spacing w:after="0" w:line="240" w:lineRule="auto"/>
        <w:jc w:val="both"/>
        <w:rPr>
          <w:rFonts w:eastAsia="Times New Roman" w:cs="Arial"/>
          <w:b/>
          <w:color w:val="222222"/>
          <w:lang w:eastAsia="es-CO"/>
        </w:rPr>
      </w:pPr>
      <w:r w:rsidRPr="005B213C">
        <w:rPr>
          <w:rFonts w:cs="Arial"/>
          <w:b/>
        </w:rPr>
        <w:t>3.3. Revisión y análisis de decisiones judiciales de los órganos de cierre de cada jurisdicción que pudieren tener impacto o ser relevantes para la expedición del acto.</w:t>
      </w:r>
    </w:p>
    <w:p w14:paraId="0B6797CD" w14:textId="77777777" w:rsidR="00340EBA" w:rsidRPr="005B213C" w:rsidRDefault="00340EBA" w:rsidP="004C634F">
      <w:pPr>
        <w:shd w:val="clear" w:color="auto" w:fill="FFFFFF"/>
        <w:spacing w:after="0" w:line="240" w:lineRule="auto"/>
        <w:jc w:val="both"/>
        <w:rPr>
          <w:rFonts w:cs="Arial"/>
        </w:rPr>
      </w:pPr>
    </w:p>
    <w:p w14:paraId="2037472D" w14:textId="77777777" w:rsidR="00C03AF8" w:rsidRDefault="00B364DA" w:rsidP="004C634F">
      <w:pPr>
        <w:shd w:val="clear" w:color="auto" w:fill="FFFFFF"/>
        <w:spacing w:after="0" w:line="240" w:lineRule="auto"/>
        <w:jc w:val="both"/>
        <w:rPr>
          <w:rFonts w:cs="Arial"/>
        </w:rPr>
      </w:pPr>
      <w:r w:rsidRPr="00936B46">
        <w:rPr>
          <w:rFonts w:cs="Arial"/>
        </w:rPr>
        <w:t xml:space="preserve">De acuerdo con la información suministrada y avalada por el Coordinador del Grupo de Defensa Judicial de la Oficina Asesora Jurídica, </w:t>
      </w:r>
      <w:r w:rsidRPr="00416702">
        <w:rPr>
          <w:rFonts w:cs="Arial"/>
        </w:rPr>
        <w:t>no se encuentran decisiones judiciales que resultan relevantes para la ex</w:t>
      </w:r>
      <w:r w:rsidRPr="00AF72BC">
        <w:rPr>
          <w:rFonts w:cs="Arial"/>
        </w:rPr>
        <w:t>pedición del proyecto normativo.</w:t>
      </w:r>
    </w:p>
    <w:p w14:paraId="03B24991" w14:textId="77777777" w:rsidR="00416702" w:rsidRPr="005B213C" w:rsidRDefault="00416702" w:rsidP="004C634F">
      <w:pPr>
        <w:shd w:val="clear" w:color="auto" w:fill="FFFFFF"/>
        <w:spacing w:after="0" w:line="240" w:lineRule="auto"/>
        <w:jc w:val="both"/>
        <w:rPr>
          <w:rFonts w:cs="Arial"/>
        </w:rPr>
      </w:pPr>
    </w:p>
    <w:p w14:paraId="69BCE656" w14:textId="77777777" w:rsidR="00D5445E" w:rsidRPr="005B213C" w:rsidRDefault="00D5445E" w:rsidP="004C634F">
      <w:pPr>
        <w:numPr>
          <w:ilvl w:val="0"/>
          <w:numId w:val="2"/>
        </w:numPr>
        <w:spacing w:after="0" w:line="240" w:lineRule="auto"/>
        <w:ind w:left="426" w:hanging="426"/>
        <w:jc w:val="both"/>
        <w:rPr>
          <w:rFonts w:cs="Arial"/>
          <w:b/>
        </w:rPr>
      </w:pPr>
      <w:r w:rsidRPr="005B213C">
        <w:rPr>
          <w:rFonts w:cs="Arial"/>
          <w:b/>
        </w:rPr>
        <w:t>IMPACTO ECONÓMICO</w:t>
      </w:r>
    </w:p>
    <w:p w14:paraId="0EDD66F5" w14:textId="77777777" w:rsidR="0064657C" w:rsidRPr="005B213C" w:rsidRDefault="0064657C" w:rsidP="00B364DA">
      <w:pPr>
        <w:pStyle w:val="Textoindependiente"/>
        <w:tabs>
          <w:tab w:val="left" w:pos="284"/>
        </w:tabs>
        <w:rPr>
          <w:rFonts w:cs="Arial"/>
          <w:sz w:val="22"/>
          <w:szCs w:val="22"/>
          <w:lang w:val="es-ES" w:eastAsia="es-CO"/>
        </w:rPr>
      </w:pPr>
    </w:p>
    <w:p w14:paraId="5EC38631" w14:textId="7CB441AF" w:rsidR="00297F5C" w:rsidRPr="005B213C" w:rsidRDefault="00297F5C" w:rsidP="00297F5C">
      <w:pPr>
        <w:pStyle w:val="Textoindependiente"/>
        <w:tabs>
          <w:tab w:val="left" w:pos="284"/>
        </w:tabs>
        <w:rPr>
          <w:rFonts w:cs="Arial"/>
          <w:sz w:val="22"/>
          <w:szCs w:val="22"/>
          <w:lang w:val="es-ES" w:eastAsia="es-CO"/>
        </w:rPr>
      </w:pPr>
      <w:r w:rsidRPr="005B213C">
        <w:rPr>
          <w:rFonts w:cs="Arial"/>
          <w:sz w:val="22"/>
          <w:szCs w:val="22"/>
          <w:lang w:val="es-ES" w:eastAsia="es-CO"/>
        </w:rPr>
        <w:t>Desde el punto de vista económico, se espera que el CERT tenga un impacto positivo en la economía teniendo en cuenta que se promueven nuevas inversiones en el sector de hidrocarburos y minería, que a su vez redundan en el incremento de la producción y los ingresos de la Nación y de las entidades territoriales a través de mayor recaudo por impuesto sobre la renta y por regalías</w:t>
      </w:r>
      <w:r w:rsidR="008671E5">
        <w:rPr>
          <w:rFonts w:cs="Arial"/>
          <w:sz w:val="22"/>
          <w:szCs w:val="22"/>
          <w:lang w:val="es-ES" w:eastAsia="es-CO"/>
        </w:rPr>
        <w:t>, as</w:t>
      </w:r>
      <w:r w:rsidR="00482CF2">
        <w:rPr>
          <w:rFonts w:cs="Arial"/>
          <w:sz w:val="22"/>
          <w:szCs w:val="22"/>
          <w:lang w:val="es-ES" w:eastAsia="es-CO"/>
        </w:rPr>
        <w:t>í</w:t>
      </w:r>
      <w:r w:rsidR="008671E5">
        <w:rPr>
          <w:rFonts w:cs="Arial"/>
          <w:sz w:val="22"/>
          <w:szCs w:val="22"/>
          <w:lang w:val="es-ES" w:eastAsia="es-CO"/>
        </w:rPr>
        <w:t xml:space="preserve"> como un mayor crecimiento del PIB debido a los encadenamientos que presenta la industria</w:t>
      </w:r>
      <w:r w:rsidRPr="005B213C">
        <w:rPr>
          <w:rFonts w:cs="Arial"/>
          <w:sz w:val="22"/>
          <w:szCs w:val="22"/>
          <w:lang w:val="es-ES" w:eastAsia="es-CO"/>
        </w:rPr>
        <w:t>.</w:t>
      </w:r>
    </w:p>
    <w:p w14:paraId="0DFFE0B1" w14:textId="77777777" w:rsidR="00297F5C" w:rsidRPr="005B213C" w:rsidRDefault="00297F5C" w:rsidP="00297F5C">
      <w:pPr>
        <w:pStyle w:val="Textoindependiente"/>
        <w:tabs>
          <w:tab w:val="left" w:pos="284"/>
        </w:tabs>
        <w:rPr>
          <w:rFonts w:cs="Arial"/>
          <w:sz w:val="22"/>
          <w:szCs w:val="22"/>
          <w:lang w:val="es-ES" w:eastAsia="es-CO"/>
        </w:rPr>
      </w:pPr>
    </w:p>
    <w:p w14:paraId="2C5BA671" w14:textId="5DDDF952" w:rsidR="005216A8" w:rsidRDefault="00297F5C" w:rsidP="00297F5C">
      <w:pPr>
        <w:pStyle w:val="Textoindependiente"/>
        <w:tabs>
          <w:tab w:val="left" w:pos="284"/>
        </w:tabs>
        <w:rPr>
          <w:rFonts w:cs="Arial"/>
          <w:sz w:val="22"/>
          <w:szCs w:val="22"/>
          <w:lang w:val="es-ES" w:eastAsia="es-CO"/>
        </w:rPr>
      </w:pPr>
      <w:r w:rsidRPr="005B213C">
        <w:rPr>
          <w:rFonts w:cs="Arial"/>
          <w:sz w:val="22"/>
          <w:szCs w:val="22"/>
          <w:lang w:val="es-ES" w:eastAsia="es-CO"/>
        </w:rPr>
        <w:t xml:space="preserve">Ahora bien, en relación con </w:t>
      </w:r>
      <w:r w:rsidR="00767D55">
        <w:rPr>
          <w:rFonts w:cs="Arial"/>
          <w:sz w:val="22"/>
          <w:szCs w:val="22"/>
          <w:lang w:val="es-ES" w:eastAsia="es-CO"/>
        </w:rPr>
        <w:t>el Factor Multiplicador</w:t>
      </w:r>
      <w:r w:rsidR="00482CF2">
        <w:rPr>
          <w:rFonts w:cs="Arial"/>
          <w:sz w:val="22"/>
          <w:szCs w:val="22"/>
          <w:lang w:val="es-ES" w:eastAsia="es-CO"/>
        </w:rPr>
        <w:t>, a través de este Proyecto de Resolución</w:t>
      </w:r>
      <w:r w:rsidR="005216A8">
        <w:rPr>
          <w:rFonts w:cs="Arial"/>
          <w:sz w:val="22"/>
          <w:szCs w:val="22"/>
          <w:lang w:val="es-ES" w:eastAsia="es-CO"/>
        </w:rPr>
        <w:t xml:space="preserve"> se determin</w:t>
      </w:r>
      <w:r w:rsidR="00482CF2">
        <w:rPr>
          <w:rFonts w:cs="Arial"/>
          <w:sz w:val="22"/>
          <w:szCs w:val="22"/>
          <w:lang w:val="es-ES" w:eastAsia="es-CO"/>
        </w:rPr>
        <w:t>a</w:t>
      </w:r>
      <w:r w:rsidR="005216A8">
        <w:rPr>
          <w:rFonts w:cs="Arial"/>
          <w:sz w:val="22"/>
          <w:szCs w:val="22"/>
          <w:lang w:val="es-ES" w:eastAsia="es-CO"/>
        </w:rPr>
        <w:t xml:space="preserve"> un rango</w:t>
      </w:r>
      <w:r w:rsidR="008671E5">
        <w:rPr>
          <w:rFonts w:cs="Arial"/>
          <w:sz w:val="22"/>
          <w:szCs w:val="22"/>
          <w:lang w:val="es-ES" w:eastAsia="es-CO"/>
        </w:rPr>
        <w:t xml:space="preserve"> tal y como lo</w:t>
      </w:r>
      <w:r w:rsidR="00482CF2">
        <w:rPr>
          <w:rFonts w:cs="Arial"/>
          <w:sz w:val="22"/>
          <w:szCs w:val="22"/>
          <w:lang w:val="es-ES" w:eastAsia="es-CO"/>
        </w:rPr>
        <w:t xml:space="preserve"> ordena</w:t>
      </w:r>
      <w:r w:rsidR="008671E5">
        <w:rPr>
          <w:rFonts w:cs="Arial"/>
          <w:sz w:val="22"/>
          <w:szCs w:val="22"/>
          <w:lang w:val="es-ES" w:eastAsia="es-CO"/>
        </w:rPr>
        <w:t xml:space="preserve"> el decreto 2253 de 2017</w:t>
      </w:r>
      <w:r w:rsidR="005216A8">
        <w:rPr>
          <w:rFonts w:cs="Arial"/>
          <w:sz w:val="22"/>
          <w:szCs w:val="22"/>
          <w:lang w:val="es-ES" w:eastAsia="es-CO"/>
        </w:rPr>
        <w:t xml:space="preserve">. El límite inferior </w:t>
      </w:r>
      <w:r w:rsidR="008671E5">
        <w:rPr>
          <w:rFonts w:cs="Arial"/>
          <w:sz w:val="22"/>
          <w:szCs w:val="22"/>
          <w:lang w:val="es-ES" w:eastAsia="es-CO"/>
        </w:rPr>
        <w:t xml:space="preserve">de dicho rango </w:t>
      </w:r>
      <w:r w:rsidR="005216A8">
        <w:rPr>
          <w:rFonts w:cs="Arial"/>
          <w:sz w:val="22"/>
          <w:szCs w:val="22"/>
          <w:lang w:val="es-ES" w:eastAsia="es-CO"/>
        </w:rPr>
        <w:t xml:space="preserve">se obtuvo </w:t>
      </w:r>
      <w:r w:rsidR="008671E5">
        <w:rPr>
          <w:rFonts w:cs="Arial"/>
          <w:sz w:val="22"/>
          <w:szCs w:val="22"/>
          <w:lang w:val="es-ES" w:eastAsia="es-CO"/>
        </w:rPr>
        <w:t xml:space="preserve">a partir </w:t>
      </w:r>
      <w:r w:rsidR="005216A8">
        <w:rPr>
          <w:rFonts w:cs="Arial"/>
          <w:sz w:val="22"/>
          <w:szCs w:val="22"/>
          <w:lang w:val="es-ES" w:eastAsia="es-CO"/>
        </w:rPr>
        <w:t>del modelo económico elaborado por parte de los Ministerios de Hacienda</w:t>
      </w:r>
      <w:r w:rsidR="00482CF2">
        <w:rPr>
          <w:rFonts w:cs="Arial"/>
          <w:sz w:val="22"/>
          <w:szCs w:val="22"/>
          <w:lang w:val="es-ES" w:eastAsia="es-CO"/>
        </w:rPr>
        <w:t xml:space="preserve"> y Crédito Público </w:t>
      </w:r>
      <w:r w:rsidR="005216A8">
        <w:rPr>
          <w:rFonts w:cs="Arial"/>
          <w:sz w:val="22"/>
          <w:szCs w:val="22"/>
          <w:lang w:val="es-ES" w:eastAsia="es-CO"/>
        </w:rPr>
        <w:t xml:space="preserve">y </w:t>
      </w:r>
      <w:r w:rsidR="00482CF2">
        <w:rPr>
          <w:rFonts w:cs="Arial"/>
          <w:sz w:val="22"/>
          <w:szCs w:val="22"/>
          <w:lang w:val="es-ES" w:eastAsia="es-CO"/>
        </w:rPr>
        <w:t xml:space="preserve">de </w:t>
      </w:r>
      <w:r w:rsidR="005216A8">
        <w:rPr>
          <w:rFonts w:cs="Arial"/>
          <w:sz w:val="22"/>
          <w:szCs w:val="22"/>
          <w:lang w:val="es-ES" w:eastAsia="es-CO"/>
        </w:rPr>
        <w:t xml:space="preserve">Minas y Energía en el cual se determina los beneficios que obtendría la Nación debido a </w:t>
      </w:r>
      <w:r w:rsidR="008671E5">
        <w:rPr>
          <w:rFonts w:cs="Arial"/>
          <w:sz w:val="22"/>
          <w:szCs w:val="22"/>
          <w:lang w:val="es-ES" w:eastAsia="es-CO"/>
        </w:rPr>
        <w:t>l</w:t>
      </w:r>
      <w:r w:rsidR="005216A8">
        <w:rPr>
          <w:rFonts w:cs="Arial"/>
          <w:sz w:val="22"/>
          <w:szCs w:val="22"/>
          <w:lang w:val="es-ES" w:eastAsia="es-CO"/>
        </w:rPr>
        <w:t>a mayor producción que se viabilizar</w:t>
      </w:r>
      <w:r w:rsidR="00482CF2">
        <w:rPr>
          <w:rFonts w:cs="Arial"/>
          <w:sz w:val="22"/>
          <w:szCs w:val="22"/>
          <w:lang w:val="es-ES" w:eastAsia="es-CO"/>
        </w:rPr>
        <w:t>á</w:t>
      </w:r>
      <w:r w:rsidR="005216A8">
        <w:rPr>
          <w:rFonts w:cs="Arial"/>
          <w:sz w:val="22"/>
          <w:szCs w:val="22"/>
          <w:lang w:val="es-ES" w:eastAsia="es-CO"/>
        </w:rPr>
        <w:t xml:space="preserve"> por el otorgamiento del incentivo. Este valor es el precio</w:t>
      </w:r>
      <w:r w:rsidR="008671E5">
        <w:rPr>
          <w:rFonts w:cs="Arial"/>
          <w:sz w:val="22"/>
          <w:szCs w:val="22"/>
          <w:lang w:val="es-ES" w:eastAsia="es-CO"/>
        </w:rPr>
        <w:t xml:space="preserve"> mínimo</w:t>
      </w:r>
      <w:r w:rsidR="005216A8">
        <w:rPr>
          <w:rFonts w:cs="Arial"/>
          <w:sz w:val="22"/>
          <w:szCs w:val="22"/>
          <w:lang w:val="es-ES" w:eastAsia="es-CO"/>
        </w:rPr>
        <w:t xml:space="preserve"> al cual para la Nación le resulta costo eficiente dar un incentivo tributario. Por su parte, el límite superior responde a calcular el precio promedio del B</w:t>
      </w:r>
      <w:r w:rsidR="00482CF2">
        <w:rPr>
          <w:rFonts w:cs="Arial"/>
          <w:sz w:val="22"/>
          <w:szCs w:val="22"/>
          <w:lang w:val="es-ES" w:eastAsia="es-CO"/>
        </w:rPr>
        <w:t>RENT</w:t>
      </w:r>
      <w:r w:rsidR="005216A8">
        <w:rPr>
          <w:rFonts w:cs="Arial"/>
          <w:sz w:val="22"/>
          <w:szCs w:val="22"/>
          <w:lang w:val="es-ES" w:eastAsia="es-CO"/>
        </w:rPr>
        <w:t xml:space="preserve"> para el cual la mayoría de las actividades </w:t>
      </w:r>
      <w:proofErr w:type="spellStart"/>
      <w:r w:rsidR="005216A8">
        <w:rPr>
          <w:rFonts w:cs="Arial"/>
          <w:sz w:val="22"/>
          <w:szCs w:val="22"/>
          <w:lang w:val="es-ES" w:eastAsia="es-CO"/>
        </w:rPr>
        <w:t>hidrocarbur</w:t>
      </w:r>
      <w:r w:rsidR="00A813CD">
        <w:rPr>
          <w:rFonts w:cs="Arial"/>
          <w:sz w:val="22"/>
          <w:szCs w:val="22"/>
          <w:lang w:val="es-ES" w:eastAsia="es-CO"/>
        </w:rPr>
        <w:t>í</w:t>
      </w:r>
      <w:r w:rsidR="005216A8">
        <w:rPr>
          <w:rFonts w:cs="Arial"/>
          <w:sz w:val="22"/>
          <w:szCs w:val="22"/>
          <w:lang w:val="es-ES" w:eastAsia="es-CO"/>
        </w:rPr>
        <w:t>feras</w:t>
      </w:r>
      <w:proofErr w:type="spellEnd"/>
      <w:r w:rsidR="005216A8">
        <w:rPr>
          <w:rFonts w:cs="Arial"/>
          <w:sz w:val="22"/>
          <w:szCs w:val="22"/>
          <w:lang w:val="es-ES" w:eastAsia="es-CO"/>
        </w:rPr>
        <w:t xml:space="preserve"> serían rentables</w:t>
      </w:r>
      <w:r w:rsidR="008671E5">
        <w:rPr>
          <w:rFonts w:cs="Arial"/>
          <w:sz w:val="22"/>
          <w:szCs w:val="22"/>
          <w:lang w:val="es-ES" w:eastAsia="es-CO"/>
        </w:rPr>
        <w:t>, es decir que no necesitarían un incentivo para desarrollarse. Es importante aclarar que estos rangos de precios varían en el tiempo debido a la fluctuación de los precios de los servicios petroleros y a los precios internacionales</w:t>
      </w:r>
      <w:r w:rsidR="005216A8">
        <w:rPr>
          <w:rFonts w:cs="Arial"/>
          <w:sz w:val="22"/>
          <w:szCs w:val="22"/>
          <w:lang w:val="es-ES" w:eastAsia="es-CO"/>
        </w:rPr>
        <w:t>.</w:t>
      </w:r>
      <w:bookmarkStart w:id="0" w:name="_GoBack"/>
      <w:bookmarkEnd w:id="0"/>
      <w:r w:rsidR="005216A8">
        <w:rPr>
          <w:rFonts w:cs="Arial"/>
          <w:sz w:val="22"/>
          <w:szCs w:val="22"/>
          <w:lang w:val="es-ES" w:eastAsia="es-CO"/>
        </w:rPr>
        <w:t xml:space="preserve"> </w:t>
      </w:r>
    </w:p>
    <w:p w14:paraId="353D1CA5" w14:textId="77777777" w:rsidR="00416702" w:rsidRPr="005B213C" w:rsidRDefault="00416702" w:rsidP="00297F5C">
      <w:pPr>
        <w:pStyle w:val="Textoindependiente"/>
        <w:tabs>
          <w:tab w:val="left" w:pos="284"/>
        </w:tabs>
        <w:rPr>
          <w:rFonts w:cs="Arial"/>
          <w:sz w:val="22"/>
          <w:szCs w:val="22"/>
          <w:lang w:val="es-ES" w:eastAsia="es-CO"/>
        </w:rPr>
      </w:pPr>
    </w:p>
    <w:p w14:paraId="0480A6C2" w14:textId="77777777" w:rsidR="00D5445E" w:rsidRPr="005B213C" w:rsidRDefault="00D5445E" w:rsidP="004C634F">
      <w:pPr>
        <w:pStyle w:val="Textoindependiente"/>
        <w:numPr>
          <w:ilvl w:val="0"/>
          <w:numId w:val="2"/>
        </w:numPr>
        <w:ind w:left="426" w:hanging="426"/>
        <w:rPr>
          <w:rFonts w:cs="Arial"/>
          <w:b/>
          <w:sz w:val="22"/>
          <w:szCs w:val="22"/>
          <w:lang w:val="es-CO"/>
        </w:rPr>
      </w:pPr>
      <w:r w:rsidRPr="005B213C">
        <w:rPr>
          <w:rFonts w:cs="Arial"/>
          <w:sz w:val="22"/>
          <w:szCs w:val="22"/>
          <w:lang w:val="es-CO"/>
        </w:rPr>
        <w:t xml:space="preserve"> </w:t>
      </w:r>
      <w:r w:rsidRPr="005B213C">
        <w:rPr>
          <w:rFonts w:cs="Arial"/>
          <w:b/>
          <w:sz w:val="22"/>
          <w:szCs w:val="22"/>
          <w:lang w:val="es-CO"/>
        </w:rPr>
        <w:t>DISPONIBILIDAD PRESUPUESTAL</w:t>
      </w:r>
    </w:p>
    <w:p w14:paraId="568A1886" w14:textId="77777777" w:rsidR="00D5445E" w:rsidRPr="005B213C" w:rsidRDefault="00D5445E" w:rsidP="004C634F">
      <w:pPr>
        <w:pStyle w:val="Textoindependiente"/>
        <w:rPr>
          <w:rFonts w:cs="Arial"/>
          <w:sz w:val="22"/>
          <w:szCs w:val="22"/>
          <w:lang w:val="es-CO"/>
        </w:rPr>
      </w:pPr>
    </w:p>
    <w:p w14:paraId="0ADBA16D" w14:textId="77777777" w:rsidR="00D5445E" w:rsidRPr="005B213C" w:rsidRDefault="00767D55" w:rsidP="00936B46">
      <w:pPr>
        <w:pStyle w:val="Textoindependiente"/>
        <w:rPr>
          <w:rFonts w:cs="Arial"/>
          <w:sz w:val="22"/>
          <w:szCs w:val="22"/>
          <w:lang w:val="es-CO"/>
        </w:rPr>
      </w:pPr>
      <w:r>
        <w:rPr>
          <w:rFonts w:cs="Arial"/>
          <w:sz w:val="22"/>
          <w:szCs w:val="22"/>
          <w:lang w:val="es-CO"/>
        </w:rPr>
        <w:t>Para la aplicación de lo dispuesto en el Proyecto de Resolución no se requiere de disponibilidad presupuestal.</w:t>
      </w:r>
    </w:p>
    <w:p w14:paraId="26CC96C9" w14:textId="77777777" w:rsidR="00530E6E" w:rsidRPr="005B213C" w:rsidRDefault="00530E6E" w:rsidP="00936B46">
      <w:pPr>
        <w:pStyle w:val="Textoindependiente"/>
        <w:rPr>
          <w:rFonts w:cs="Arial"/>
          <w:sz w:val="22"/>
          <w:szCs w:val="22"/>
          <w:lang w:val="es-CO"/>
        </w:rPr>
      </w:pPr>
    </w:p>
    <w:p w14:paraId="11C15BBD" w14:textId="77777777" w:rsidR="00D5445E" w:rsidRPr="005B213C" w:rsidRDefault="00D5445E" w:rsidP="004C634F">
      <w:pPr>
        <w:pStyle w:val="Textoindependiente"/>
        <w:numPr>
          <w:ilvl w:val="0"/>
          <w:numId w:val="2"/>
        </w:numPr>
        <w:ind w:left="426" w:hanging="426"/>
        <w:rPr>
          <w:rFonts w:cs="Arial"/>
          <w:b/>
          <w:sz w:val="22"/>
          <w:szCs w:val="22"/>
          <w:lang w:val="es-CO"/>
        </w:rPr>
      </w:pPr>
      <w:r w:rsidRPr="005B213C">
        <w:rPr>
          <w:rFonts w:cs="Arial"/>
          <w:b/>
          <w:sz w:val="22"/>
          <w:szCs w:val="22"/>
          <w:lang w:val="es-CO"/>
        </w:rPr>
        <w:t>IMPACTO MEDIO AMBIENTAL O SOBRE EL PATRIMONIO CULTURAL</w:t>
      </w:r>
    </w:p>
    <w:p w14:paraId="41E91669" w14:textId="77777777" w:rsidR="000F23FD" w:rsidRPr="005B213C" w:rsidRDefault="000F23FD" w:rsidP="004C634F">
      <w:pPr>
        <w:pStyle w:val="Textoindependiente"/>
        <w:rPr>
          <w:rFonts w:cs="Arial"/>
          <w:b/>
          <w:sz w:val="22"/>
          <w:szCs w:val="22"/>
          <w:lang w:val="es-CO"/>
        </w:rPr>
      </w:pPr>
    </w:p>
    <w:p w14:paraId="260D8F31" w14:textId="77777777" w:rsidR="0006594D" w:rsidRPr="005B213C" w:rsidRDefault="0006594D" w:rsidP="0006594D">
      <w:pPr>
        <w:pStyle w:val="Default"/>
        <w:jc w:val="both"/>
        <w:rPr>
          <w:sz w:val="22"/>
          <w:szCs w:val="22"/>
          <w:lang w:val="es-ES"/>
        </w:rPr>
      </w:pPr>
      <w:r w:rsidRPr="005B213C">
        <w:rPr>
          <w:sz w:val="22"/>
          <w:szCs w:val="22"/>
          <w:lang w:val="es-ES"/>
        </w:rPr>
        <w:t xml:space="preserve">El presente proyecto de </w:t>
      </w:r>
      <w:r w:rsidR="00297F5C" w:rsidRPr="005B213C">
        <w:rPr>
          <w:sz w:val="22"/>
          <w:szCs w:val="22"/>
          <w:lang w:val="es-ES"/>
        </w:rPr>
        <w:t>Resolución</w:t>
      </w:r>
      <w:r w:rsidRPr="005B213C">
        <w:rPr>
          <w:sz w:val="22"/>
          <w:szCs w:val="22"/>
          <w:lang w:val="es-ES"/>
        </w:rPr>
        <w:t xml:space="preserve"> no genera impacto medio ambiental o sobre el patrimonio cultural</w:t>
      </w:r>
      <w:r w:rsidR="0064657C" w:rsidRPr="005B213C">
        <w:rPr>
          <w:sz w:val="22"/>
          <w:szCs w:val="22"/>
          <w:lang w:val="es-ES"/>
        </w:rPr>
        <w:t>.</w:t>
      </w:r>
    </w:p>
    <w:p w14:paraId="713B047E" w14:textId="77777777" w:rsidR="00C765BE" w:rsidRPr="005B213C" w:rsidRDefault="00C765BE" w:rsidP="004C634F">
      <w:pPr>
        <w:spacing w:after="0" w:line="240" w:lineRule="auto"/>
        <w:ind w:left="360"/>
        <w:jc w:val="both"/>
        <w:rPr>
          <w:rFonts w:cs="Arial"/>
          <w:b/>
          <w:lang w:val="es-ES"/>
        </w:rPr>
      </w:pPr>
    </w:p>
    <w:p w14:paraId="002850BC" w14:textId="77777777" w:rsidR="00D5445E" w:rsidRPr="005B213C" w:rsidRDefault="00D5445E" w:rsidP="004C634F">
      <w:pPr>
        <w:pStyle w:val="Textoindependiente"/>
        <w:numPr>
          <w:ilvl w:val="0"/>
          <w:numId w:val="2"/>
        </w:numPr>
        <w:ind w:left="426" w:hanging="426"/>
        <w:rPr>
          <w:rFonts w:cs="Arial"/>
          <w:b/>
          <w:sz w:val="22"/>
          <w:szCs w:val="22"/>
          <w:lang w:val="es-CO"/>
        </w:rPr>
      </w:pPr>
      <w:r w:rsidRPr="005B213C">
        <w:rPr>
          <w:rFonts w:cs="Arial"/>
          <w:b/>
          <w:sz w:val="22"/>
          <w:szCs w:val="22"/>
          <w:lang w:val="es-CO"/>
        </w:rPr>
        <w:t>CONSULTA</w:t>
      </w:r>
    </w:p>
    <w:p w14:paraId="25ADF29F" w14:textId="77777777" w:rsidR="00711285" w:rsidRPr="005B213C" w:rsidRDefault="00711285" w:rsidP="004C634F">
      <w:pPr>
        <w:pStyle w:val="Textoindependiente"/>
        <w:rPr>
          <w:rFonts w:cs="Arial"/>
          <w:b/>
          <w:sz w:val="22"/>
          <w:szCs w:val="22"/>
          <w:lang w:val="es-CO"/>
        </w:rPr>
      </w:pPr>
    </w:p>
    <w:p w14:paraId="1D418BB1" w14:textId="77777777" w:rsidR="00EC2B07" w:rsidRPr="005B213C" w:rsidRDefault="0006594D" w:rsidP="004C634F">
      <w:pPr>
        <w:pStyle w:val="Textoindependiente"/>
        <w:rPr>
          <w:rFonts w:cs="Arial"/>
          <w:sz w:val="22"/>
          <w:szCs w:val="22"/>
          <w:lang w:val="es-CO"/>
        </w:rPr>
      </w:pPr>
      <w:r w:rsidRPr="005B213C">
        <w:rPr>
          <w:rFonts w:cs="Arial"/>
          <w:sz w:val="22"/>
          <w:szCs w:val="22"/>
          <w:lang w:val="es-CO"/>
        </w:rPr>
        <w:t xml:space="preserve">El proyecto de </w:t>
      </w:r>
      <w:r w:rsidR="00297F5C" w:rsidRPr="005B213C">
        <w:rPr>
          <w:rFonts w:cs="Arial"/>
          <w:sz w:val="22"/>
          <w:szCs w:val="22"/>
          <w:lang w:val="es-CO"/>
        </w:rPr>
        <w:t>Resolución</w:t>
      </w:r>
      <w:r w:rsidRPr="005B213C">
        <w:rPr>
          <w:rFonts w:cs="Arial"/>
          <w:sz w:val="22"/>
          <w:szCs w:val="22"/>
          <w:lang w:val="es-CO"/>
        </w:rPr>
        <w:t xml:space="preserve"> no está sujeto a consulta</w:t>
      </w:r>
      <w:r w:rsidR="00856349" w:rsidRPr="005B213C">
        <w:rPr>
          <w:rFonts w:cs="Arial"/>
          <w:sz w:val="22"/>
          <w:szCs w:val="22"/>
          <w:lang w:val="es-CO"/>
        </w:rPr>
        <w:t xml:space="preserve">, </w:t>
      </w:r>
      <w:r w:rsidR="00856349" w:rsidRPr="005B213C">
        <w:rPr>
          <w:rFonts w:cs="Arial"/>
          <w:sz w:val="22"/>
          <w:szCs w:val="22"/>
          <w:lang w:val="es-ES"/>
        </w:rPr>
        <w:t xml:space="preserve">teniendo en cuenta </w:t>
      </w:r>
      <w:r w:rsidR="005B12B3" w:rsidRPr="005B213C">
        <w:rPr>
          <w:rFonts w:cs="Arial"/>
          <w:sz w:val="22"/>
          <w:szCs w:val="22"/>
          <w:lang w:val="es-ES"/>
        </w:rPr>
        <w:t xml:space="preserve">que no </w:t>
      </w:r>
      <w:r w:rsidR="00856349" w:rsidRPr="005B213C">
        <w:rPr>
          <w:rFonts w:cs="Arial"/>
          <w:sz w:val="22"/>
          <w:szCs w:val="22"/>
          <w:lang w:val="es-ES"/>
        </w:rPr>
        <w:t>presenta ninguna incidencia para las comunidades indígenas ni minorías reconocidas constitucional y legalmente</w:t>
      </w:r>
      <w:r w:rsidRPr="005B213C">
        <w:rPr>
          <w:rFonts w:cs="Arial"/>
          <w:sz w:val="22"/>
          <w:szCs w:val="22"/>
          <w:lang w:val="es-CO"/>
        </w:rPr>
        <w:t>.</w:t>
      </w:r>
    </w:p>
    <w:p w14:paraId="7698C390" w14:textId="77777777" w:rsidR="0006594D" w:rsidRPr="005B213C" w:rsidRDefault="0006594D" w:rsidP="004C634F">
      <w:pPr>
        <w:pStyle w:val="Textoindependiente"/>
        <w:rPr>
          <w:rFonts w:cs="Arial"/>
          <w:b/>
          <w:sz w:val="22"/>
          <w:szCs w:val="22"/>
          <w:lang w:val="es-CO"/>
        </w:rPr>
      </w:pPr>
    </w:p>
    <w:p w14:paraId="5D936957" w14:textId="77777777" w:rsidR="00711285" w:rsidRPr="005B213C" w:rsidRDefault="00711285" w:rsidP="004C634F">
      <w:pPr>
        <w:pStyle w:val="Textoindependiente"/>
        <w:numPr>
          <w:ilvl w:val="0"/>
          <w:numId w:val="2"/>
        </w:numPr>
        <w:ind w:left="426" w:hanging="426"/>
        <w:rPr>
          <w:rFonts w:cs="Arial"/>
          <w:b/>
          <w:sz w:val="22"/>
          <w:szCs w:val="22"/>
          <w:lang w:val="es-CO"/>
        </w:rPr>
      </w:pPr>
      <w:r w:rsidRPr="005B213C">
        <w:rPr>
          <w:rFonts w:cs="Arial"/>
          <w:b/>
          <w:sz w:val="22"/>
          <w:szCs w:val="22"/>
          <w:lang w:val="es-CO"/>
        </w:rPr>
        <w:t>PUBLICIDAD</w:t>
      </w:r>
    </w:p>
    <w:p w14:paraId="7B3D1C86" w14:textId="77777777" w:rsidR="00EC2B07" w:rsidRPr="005B213C" w:rsidRDefault="00EC2B07" w:rsidP="004C634F">
      <w:pPr>
        <w:pStyle w:val="Prrafodelista"/>
        <w:spacing w:before="0"/>
        <w:ind w:left="0"/>
        <w:rPr>
          <w:rFonts w:ascii="Arial" w:hAnsi="Arial" w:cs="Arial"/>
          <w:b/>
        </w:rPr>
      </w:pPr>
    </w:p>
    <w:p w14:paraId="727C2C6D" w14:textId="77777777" w:rsidR="00856349" w:rsidRPr="005B213C" w:rsidRDefault="00856349" w:rsidP="00856349">
      <w:pPr>
        <w:spacing w:after="0" w:line="240" w:lineRule="auto"/>
        <w:jc w:val="both"/>
        <w:rPr>
          <w:rFonts w:cs="Arial"/>
          <w:color w:val="000000"/>
        </w:rPr>
      </w:pPr>
      <w:r w:rsidRPr="005B213C">
        <w:rPr>
          <w:rFonts w:cs="Arial"/>
          <w:color w:val="000000"/>
        </w:rPr>
        <w:t xml:space="preserve">En cumplimiento </w:t>
      </w:r>
      <w:r w:rsidR="005B12B3" w:rsidRPr="005B213C">
        <w:rPr>
          <w:rFonts w:cs="Arial"/>
          <w:color w:val="000000"/>
        </w:rPr>
        <w:t xml:space="preserve">de lo señalado en el </w:t>
      </w:r>
      <w:r w:rsidR="00936B46" w:rsidRPr="005B213C">
        <w:rPr>
          <w:rFonts w:cs="Arial"/>
          <w:color w:val="000000"/>
        </w:rPr>
        <w:t xml:space="preserve">numeral 8 del artículo 8 de la Ley 1437 de 2011, en concordancia con lo previsto en el </w:t>
      </w:r>
      <w:r w:rsidR="005B12B3" w:rsidRPr="005B213C">
        <w:rPr>
          <w:rFonts w:cs="Arial"/>
          <w:color w:val="000000"/>
        </w:rPr>
        <w:t>artículo 2.1.2.1.14 del Decreto 270 de 2017</w:t>
      </w:r>
      <w:r w:rsidR="00936B46" w:rsidRPr="005B213C">
        <w:rPr>
          <w:rFonts w:cs="Arial"/>
          <w:color w:val="000000"/>
        </w:rPr>
        <w:t xml:space="preserve"> y las resoluciones 4 0310 y 4 1304 de 2017</w:t>
      </w:r>
      <w:r w:rsidRPr="005B213C">
        <w:rPr>
          <w:rFonts w:cs="Arial"/>
          <w:color w:val="000000"/>
        </w:rPr>
        <w:t>, e</w:t>
      </w:r>
      <w:r w:rsidR="00280777" w:rsidRPr="005B213C">
        <w:rPr>
          <w:rFonts w:cs="Arial"/>
          <w:color w:val="000000"/>
        </w:rPr>
        <w:t xml:space="preserve">l proyecto de </w:t>
      </w:r>
      <w:r w:rsidR="00E212B8" w:rsidRPr="005B213C">
        <w:rPr>
          <w:rFonts w:cs="Arial"/>
          <w:color w:val="000000"/>
        </w:rPr>
        <w:t>Resolución</w:t>
      </w:r>
      <w:r w:rsidR="00280777" w:rsidRPr="005B213C">
        <w:rPr>
          <w:rFonts w:cs="Arial"/>
          <w:color w:val="000000"/>
        </w:rPr>
        <w:t xml:space="preserve"> fue publicado para come</w:t>
      </w:r>
      <w:r w:rsidR="002D7097" w:rsidRPr="005B213C">
        <w:rPr>
          <w:rFonts w:cs="Arial"/>
          <w:color w:val="000000"/>
        </w:rPr>
        <w:t>n</w:t>
      </w:r>
      <w:r w:rsidR="00280777" w:rsidRPr="005B213C">
        <w:rPr>
          <w:rFonts w:cs="Arial"/>
          <w:color w:val="000000"/>
        </w:rPr>
        <w:t xml:space="preserve">tarios en la página web del Ministerio de Minas y Energía </w:t>
      </w:r>
      <w:r w:rsidR="0006594D" w:rsidRPr="005B213C">
        <w:rPr>
          <w:rFonts w:cs="Arial"/>
          <w:color w:val="000000"/>
        </w:rPr>
        <w:t>entre el</w:t>
      </w:r>
      <w:r w:rsidR="005B12B3" w:rsidRPr="005B213C">
        <w:rPr>
          <w:rFonts w:cs="Arial"/>
          <w:color w:val="000000"/>
        </w:rPr>
        <w:t xml:space="preserve"> </w:t>
      </w:r>
      <w:r w:rsidR="00F82D35">
        <w:rPr>
          <w:rFonts w:cs="Arial"/>
          <w:color w:val="000000"/>
        </w:rPr>
        <w:t>30 de enero y 14 de febrero</w:t>
      </w:r>
      <w:r w:rsidR="00936B46" w:rsidRPr="005B213C">
        <w:rPr>
          <w:rFonts w:cs="Arial"/>
          <w:color w:val="000000"/>
        </w:rPr>
        <w:t xml:space="preserve"> de 2018</w:t>
      </w:r>
      <w:r w:rsidR="005B12B3" w:rsidRPr="005B213C">
        <w:rPr>
          <w:rFonts w:cs="Arial"/>
          <w:color w:val="000000"/>
        </w:rPr>
        <w:t>.</w:t>
      </w:r>
    </w:p>
    <w:p w14:paraId="20C1333B" w14:textId="77777777" w:rsidR="00AA6876" w:rsidRPr="005B213C" w:rsidRDefault="00AA6876" w:rsidP="004C634F">
      <w:pPr>
        <w:spacing w:after="0" w:line="240" w:lineRule="auto"/>
        <w:jc w:val="both"/>
        <w:rPr>
          <w:rFonts w:cs="Arial"/>
          <w:color w:val="000000"/>
        </w:rPr>
      </w:pPr>
    </w:p>
    <w:p w14:paraId="2ED72BFC" w14:textId="77777777" w:rsidR="00E274CE" w:rsidRPr="005B213C" w:rsidRDefault="00E274CE" w:rsidP="00FF0C6B">
      <w:pPr>
        <w:numPr>
          <w:ilvl w:val="0"/>
          <w:numId w:val="2"/>
        </w:numPr>
        <w:spacing w:after="0" w:line="240" w:lineRule="auto"/>
        <w:ind w:left="426" w:hanging="426"/>
        <w:jc w:val="both"/>
        <w:rPr>
          <w:rFonts w:cs="Arial"/>
          <w:b/>
          <w:color w:val="000000"/>
        </w:rPr>
      </w:pPr>
      <w:r w:rsidRPr="005B213C">
        <w:rPr>
          <w:rFonts w:cs="Arial"/>
          <w:b/>
          <w:color w:val="000000"/>
        </w:rPr>
        <w:t>MATRIZ RESUMEN OBSERVACIONES Y COMENTARIOS</w:t>
      </w:r>
    </w:p>
    <w:p w14:paraId="0FBF3C50" w14:textId="77777777" w:rsidR="00AA6876" w:rsidRPr="005B213C" w:rsidRDefault="00AA6876" w:rsidP="00AA6876">
      <w:pPr>
        <w:spacing w:after="0" w:line="240" w:lineRule="auto"/>
        <w:ind w:left="720"/>
        <w:jc w:val="both"/>
        <w:rPr>
          <w:rFonts w:cs="Arial"/>
          <w:b/>
          <w:color w:val="000000"/>
        </w:rPr>
      </w:pPr>
    </w:p>
    <w:p w14:paraId="367993C4" w14:textId="77777777" w:rsidR="00E274CE" w:rsidRPr="005B213C" w:rsidRDefault="00E274CE" w:rsidP="004C634F">
      <w:pPr>
        <w:spacing w:after="0" w:line="240" w:lineRule="auto"/>
        <w:jc w:val="both"/>
        <w:rPr>
          <w:rFonts w:cs="Arial"/>
          <w:color w:val="000000"/>
        </w:rPr>
      </w:pPr>
      <w:r w:rsidRPr="005B213C">
        <w:rPr>
          <w:rFonts w:cs="Arial"/>
          <w:color w:val="000000"/>
        </w:rPr>
        <w:t>La matriz con el resumen de las observaciones y comentarios recibidos sobre el proyecto normativo hacen parte de esta memoria justificativa.</w:t>
      </w:r>
    </w:p>
    <w:p w14:paraId="7126A3B6" w14:textId="77777777" w:rsidR="00936B46" w:rsidRPr="005B213C" w:rsidRDefault="00936B46" w:rsidP="004C634F">
      <w:pPr>
        <w:spacing w:after="0" w:line="240" w:lineRule="auto"/>
        <w:jc w:val="both"/>
        <w:rPr>
          <w:rFonts w:cs="Arial"/>
          <w:color w:val="000000"/>
        </w:rPr>
      </w:pPr>
    </w:p>
    <w:p w14:paraId="72637154" w14:textId="77777777" w:rsidR="00E274CE" w:rsidRPr="005B213C" w:rsidRDefault="00E274CE" w:rsidP="00FF0C6B">
      <w:pPr>
        <w:numPr>
          <w:ilvl w:val="0"/>
          <w:numId w:val="2"/>
        </w:numPr>
        <w:spacing w:after="0" w:line="240" w:lineRule="auto"/>
        <w:ind w:left="426" w:hanging="426"/>
        <w:jc w:val="both"/>
        <w:rPr>
          <w:rFonts w:cs="Arial"/>
          <w:b/>
          <w:color w:val="000000"/>
        </w:rPr>
      </w:pPr>
      <w:r w:rsidRPr="005B213C">
        <w:rPr>
          <w:rFonts w:cs="Arial"/>
          <w:b/>
          <w:color w:val="000000"/>
        </w:rPr>
        <w:t>INFORME GLOBAL DE LAS OBSERVACIONES Y COMENTARIOS</w:t>
      </w:r>
    </w:p>
    <w:p w14:paraId="6BFF993A" w14:textId="77777777" w:rsidR="00AA6876" w:rsidRPr="005B213C" w:rsidRDefault="00AA6876" w:rsidP="00AA6876">
      <w:pPr>
        <w:spacing w:after="0" w:line="240" w:lineRule="auto"/>
        <w:ind w:left="720"/>
        <w:jc w:val="both"/>
        <w:rPr>
          <w:rFonts w:cs="Arial"/>
          <w:b/>
          <w:color w:val="000000"/>
        </w:rPr>
      </w:pPr>
    </w:p>
    <w:p w14:paraId="47A62DB2" w14:textId="77777777" w:rsidR="00E274CE" w:rsidRPr="005B213C" w:rsidRDefault="00E274CE" w:rsidP="004C634F">
      <w:pPr>
        <w:spacing w:after="0" w:line="240" w:lineRule="auto"/>
        <w:jc w:val="both"/>
        <w:rPr>
          <w:rFonts w:cs="Arial"/>
          <w:color w:val="000000"/>
        </w:rPr>
      </w:pPr>
      <w:r w:rsidRPr="005B213C">
        <w:rPr>
          <w:rFonts w:cs="Arial"/>
          <w:color w:val="000000"/>
        </w:rPr>
        <w:t>El informe global con la evaluación, por categorías, de las observaciones y comentarios de los ciudadanos y grupos de interés hacen</w:t>
      </w:r>
      <w:r w:rsidR="006239F1" w:rsidRPr="005B213C">
        <w:rPr>
          <w:rFonts w:cs="Arial"/>
          <w:color w:val="000000"/>
        </w:rPr>
        <w:t xml:space="preserve"> </w:t>
      </w:r>
      <w:r w:rsidRPr="005B213C">
        <w:rPr>
          <w:rFonts w:cs="Arial"/>
          <w:color w:val="000000"/>
        </w:rPr>
        <w:t>parte de esta memoria justificativa y se encuentran contenidos en un solo documento con la matriz de que trata el numeral 9.</w:t>
      </w:r>
    </w:p>
    <w:p w14:paraId="4D33E798" w14:textId="77777777" w:rsidR="00936B46" w:rsidRPr="005B213C" w:rsidRDefault="00936B46" w:rsidP="004C634F">
      <w:pPr>
        <w:spacing w:after="0" w:line="240" w:lineRule="auto"/>
        <w:jc w:val="both"/>
        <w:rPr>
          <w:rFonts w:cs="Arial"/>
          <w:color w:val="000000"/>
        </w:rPr>
      </w:pPr>
    </w:p>
    <w:p w14:paraId="5B489B91" w14:textId="77777777" w:rsidR="00936B46" w:rsidRPr="00936B46" w:rsidRDefault="00936B46" w:rsidP="00F82D35">
      <w:pPr>
        <w:numPr>
          <w:ilvl w:val="0"/>
          <w:numId w:val="2"/>
        </w:numPr>
        <w:spacing w:after="0" w:line="240" w:lineRule="auto"/>
        <w:ind w:left="284" w:hanging="284"/>
        <w:jc w:val="both"/>
        <w:rPr>
          <w:rFonts w:cs="Arial"/>
          <w:b/>
        </w:rPr>
      </w:pPr>
      <w:r w:rsidRPr="00936B46">
        <w:rPr>
          <w:rFonts w:cs="Arial"/>
          <w:b/>
        </w:rPr>
        <w:t>CONCEPTO DEL DEPARTAMENTO ADMINISTRATIVO DE LA FUNCIÓN PÚBLICA</w:t>
      </w:r>
    </w:p>
    <w:p w14:paraId="0B84F25B" w14:textId="77777777" w:rsidR="00936B46" w:rsidRPr="00416702" w:rsidRDefault="00936B46" w:rsidP="00936B46">
      <w:pPr>
        <w:spacing w:after="0" w:line="240" w:lineRule="auto"/>
        <w:jc w:val="both"/>
        <w:rPr>
          <w:rFonts w:cs="Arial"/>
        </w:rPr>
      </w:pPr>
    </w:p>
    <w:p w14:paraId="06523706" w14:textId="77777777" w:rsidR="00936B46" w:rsidRPr="00613ED4" w:rsidRDefault="00936B46" w:rsidP="00936B46">
      <w:pPr>
        <w:spacing w:after="0" w:line="240" w:lineRule="auto"/>
        <w:jc w:val="both"/>
        <w:rPr>
          <w:rFonts w:cs="Arial"/>
        </w:rPr>
      </w:pPr>
      <w:r w:rsidRPr="00AF72BC">
        <w:rPr>
          <w:rFonts w:cs="Arial"/>
        </w:rPr>
        <w:t xml:space="preserve">No aplica por cuanto el acto administrativo no establece nuevos trámites como lo dispone el </w:t>
      </w:r>
      <w:r w:rsidRPr="00613ED4">
        <w:rPr>
          <w:rFonts w:cs="Arial"/>
        </w:rPr>
        <w:t>artículo 2.1.2.1.11 del Decreto 1609 de 2015.</w:t>
      </w:r>
    </w:p>
    <w:p w14:paraId="1B1589DE" w14:textId="77777777" w:rsidR="00936B46" w:rsidRPr="005B213C" w:rsidRDefault="00936B46" w:rsidP="004C634F">
      <w:pPr>
        <w:spacing w:after="0" w:line="240" w:lineRule="auto"/>
        <w:jc w:val="both"/>
        <w:rPr>
          <w:rFonts w:cs="Arial"/>
          <w:color w:val="000000"/>
        </w:rPr>
      </w:pPr>
    </w:p>
    <w:p w14:paraId="2456D554" w14:textId="77777777" w:rsidR="002D7097" w:rsidRPr="005B213C" w:rsidRDefault="002D7097" w:rsidP="004C634F">
      <w:pPr>
        <w:spacing w:after="0" w:line="240" w:lineRule="auto"/>
        <w:jc w:val="both"/>
        <w:rPr>
          <w:rFonts w:cs="Arial"/>
        </w:rPr>
      </w:pPr>
      <w:r w:rsidRPr="005B213C">
        <w:rPr>
          <w:rFonts w:cs="Arial"/>
        </w:rPr>
        <w:t xml:space="preserve">La presente memoria justificativa se expide el </w:t>
      </w:r>
      <w:r w:rsidR="005B12B3" w:rsidRPr="005B213C">
        <w:rPr>
          <w:rFonts w:cs="Arial"/>
        </w:rPr>
        <w:t>XX de XXX</w:t>
      </w:r>
      <w:r w:rsidR="007961E9" w:rsidRPr="005B213C">
        <w:rPr>
          <w:rFonts w:cs="Arial"/>
        </w:rPr>
        <w:t xml:space="preserve"> </w:t>
      </w:r>
      <w:r w:rsidR="00E212B8" w:rsidRPr="005B213C">
        <w:rPr>
          <w:rFonts w:cs="Arial"/>
        </w:rPr>
        <w:t>de 2018</w:t>
      </w:r>
      <w:r w:rsidRPr="005B213C">
        <w:rPr>
          <w:rFonts w:cs="Arial"/>
        </w:rPr>
        <w:t xml:space="preserve"> por </w:t>
      </w:r>
      <w:r w:rsidR="00A23EC4" w:rsidRPr="005B213C">
        <w:rPr>
          <w:rFonts w:cs="Arial"/>
        </w:rPr>
        <w:t xml:space="preserve">los viceministros de Minas y de Energía </w:t>
      </w:r>
      <w:r w:rsidRPr="005B213C">
        <w:rPr>
          <w:rFonts w:cs="Arial"/>
        </w:rPr>
        <w:t>y la viabilidad jurídica cuenta con la revisión y visto bueno del Jefe de la Oficina Asesora Jurídica.</w:t>
      </w:r>
    </w:p>
    <w:p w14:paraId="3242BC87" w14:textId="77777777" w:rsidR="003A2779" w:rsidRPr="005B213C" w:rsidRDefault="003A2779" w:rsidP="004C634F">
      <w:pPr>
        <w:spacing w:after="0" w:line="240" w:lineRule="auto"/>
        <w:jc w:val="both"/>
        <w:rPr>
          <w:rFonts w:cs="Arial"/>
        </w:rPr>
      </w:pPr>
    </w:p>
    <w:p w14:paraId="454745AF" w14:textId="77777777" w:rsidR="00C22168" w:rsidRPr="005B213C" w:rsidRDefault="00C22168" w:rsidP="004C634F">
      <w:pPr>
        <w:spacing w:after="0" w:line="240" w:lineRule="auto"/>
        <w:jc w:val="both"/>
        <w:rPr>
          <w:rFonts w:cs="Arial"/>
        </w:rPr>
      </w:pPr>
    </w:p>
    <w:p w14:paraId="5A491EB8" w14:textId="77777777" w:rsidR="007961E9" w:rsidRPr="005B213C" w:rsidRDefault="007961E9" w:rsidP="004C634F">
      <w:pPr>
        <w:spacing w:after="0" w:line="240" w:lineRule="auto"/>
        <w:jc w:val="both"/>
        <w:rPr>
          <w:rFonts w:cs="Arial"/>
        </w:rPr>
      </w:pPr>
    </w:p>
    <w:p w14:paraId="422C5202" w14:textId="77777777" w:rsidR="007961E9" w:rsidRPr="005B213C" w:rsidRDefault="007961E9" w:rsidP="004C634F">
      <w:pPr>
        <w:spacing w:after="0" w:line="240" w:lineRule="auto"/>
        <w:jc w:val="both"/>
        <w:rPr>
          <w:rFonts w:cs="Arial"/>
        </w:rPr>
      </w:pPr>
    </w:p>
    <w:p w14:paraId="3952F669" w14:textId="77777777" w:rsidR="00E911F8" w:rsidRPr="005B213C" w:rsidRDefault="00E911F8" w:rsidP="004C634F">
      <w:pPr>
        <w:spacing w:after="0" w:line="240" w:lineRule="auto"/>
        <w:jc w:val="both"/>
        <w:rPr>
          <w:rFonts w:cs="Arial"/>
        </w:rPr>
      </w:pPr>
    </w:p>
    <w:p w14:paraId="3EC3F243" w14:textId="77777777" w:rsidR="00E207B4" w:rsidRPr="005B213C" w:rsidRDefault="00B364DA" w:rsidP="00AA6876">
      <w:pPr>
        <w:spacing w:after="0" w:line="240" w:lineRule="auto"/>
        <w:jc w:val="both"/>
        <w:rPr>
          <w:rFonts w:cs="Arial"/>
          <w:b/>
        </w:rPr>
      </w:pPr>
      <w:r w:rsidRPr="005B213C">
        <w:rPr>
          <w:rFonts w:cs="Arial"/>
          <w:b/>
        </w:rPr>
        <w:t>ALONSO CARDONA DELGADO</w:t>
      </w:r>
      <w:r w:rsidR="00E207B4" w:rsidRPr="005B213C">
        <w:rPr>
          <w:rFonts w:cs="Arial"/>
          <w:b/>
        </w:rPr>
        <w:tab/>
      </w:r>
      <w:r w:rsidR="00E207B4" w:rsidRPr="005B213C">
        <w:rPr>
          <w:rFonts w:cs="Arial"/>
          <w:b/>
        </w:rPr>
        <w:tab/>
      </w:r>
      <w:r w:rsidR="00416702">
        <w:rPr>
          <w:rFonts w:cs="Arial"/>
          <w:b/>
        </w:rPr>
        <w:t xml:space="preserve">           </w:t>
      </w:r>
      <w:r w:rsidR="00E207B4" w:rsidRPr="005B213C">
        <w:rPr>
          <w:rFonts w:cs="Arial"/>
          <w:b/>
        </w:rPr>
        <w:t xml:space="preserve">CARLOS </w:t>
      </w:r>
      <w:r w:rsidR="00613ED4">
        <w:rPr>
          <w:rFonts w:cs="Arial"/>
          <w:b/>
        </w:rPr>
        <w:t xml:space="preserve">ANDRÉS </w:t>
      </w:r>
      <w:r w:rsidR="00E207B4" w:rsidRPr="005B213C">
        <w:rPr>
          <w:rFonts w:cs="Arial"/>
          <w:b/>
        </w:rPr>
        <w:t>CANTE PUENTES</w:t>
      </w:r>
    </w:p>
    <w:p w14:paraId="7E31BF31" w14:textId="77777777" w:rsidR="00D87576" w:rsidRPr="005B213C" w:rsidRDefault="00B364DA" w:rsidP="00AA6876">
      <w:pPr>
        <w:spacing w:after="0" w:line="240" w:lineRule="auto"/>
        <w:jc w:val="both"/>
        <w:rPr>
          <w:rFonts w:cs="Arial"/>
        </w:rPr>
      </w:pPr>
      <w:r w:rsidRPr="005B213C">
        <w:rPr>
          <w:rFonts w:cs="Arial"/>
        </w:rPr>
        <w:t>Viceministro</w:t>
      </w:r>
      <w:r w:rsidR="00E207B4" w:rsidRPr="005B213C">
        <w:rPr>
          <w:rFonts w:cs="Arial"/>
        </w:rPr>
        <w:t xml:space="preserve"> de Energía</w:t>
      </w:r>
      <w:r w:rsidRPr="005B213C">
        <w:rPr>
          <w:rFonts w:cs="Arial"/>
        </w:rPr>
        <w:t xml:space="preserve"> </w:t>
      </w:r>
      <w:r w:rsidR="00073FE9" w:rsidRPr="005B213C">
        <w:rPr>
          <w:rFonts w:cs="Arial"/>
        </w:rPr>
        <w:tab/>
      </w:r>
      <w:r w:rsidR="00E207B4" w:rsidRPr="005B213C">
        <w:rPr>
          <w:rFonts w:cs="Arial"/>
        </w:rPr>
        <w:tab/>
      </w:r>
      <w:r w:rsidR="00E207B4" w:rsidRPr="005B213C">
        <w:rPr>
          <w:rFonts w:cs="Arial"/>
        </w:rPr>
        <w:tab/>
      </w:r>
      <w:r w:rsidR="00E207B4" w:rsidRPr="005B213C">
        <w:rPr>
          <w:rFonts w:cs="Arial"/>
        </w:rPr>
        <w:tab/>
        <w:t>Viceministro de Minas</w:t>
      </w:r>
    </w:p>
    <w:p w14:paraId="5580A63F" w14:textId="77777777" w:rsidR="00AA6876" w:rsidRPr="00F826CE" w:rsidRDefault="00AA6876" w:rsidP="00AA6876">
      <w:pPr>
        <w:spacing w:after="0" w:line="240" w:lineRule="auto"/>
        <w:jc w:val="both"/>
        <w:rPr>
          <w:rFonts w:cs="Arial"/>
          <w:sz w:val="17"/>
          <w:szCs w:val="17"/>
        </w:rPr>
      </w:pPr>
    </w:p>
    <w:p w14:paraId="4376AB02" w14:textId="77777777" w:rsidR="00D87576" w:rsidRPr="00F826CE" w:rsidRDefault="00D87576" w:rsidP="004C634F">
      <w:pPr>
        <w:spacing w:after="0" w:line="240" w:lineRule="auto"/>
        <w:jc w:val="both"/>
        <w:rPr>
          <w:rFonts w:cs="Arial"/>
          <w:sz w:val="17"/>
          <w:szCs w:val="17"/>
        </w:rPr>
      </w:pPr>
      <w:r w:rsidRPr="00F826CE">
        <w:rPr>
          <w:rFonts w:cs="Arial"/>
          <w:sz w:val="17"/>
          <w:szCs w:val="17"/>
        </w:rPr>
        <w:t>P</w:t>
      </w:r>
      <w:r w:rsidR="006600C7" w:rsidRPr="00F826CE">
        <w:rPr>
          <w:rFonts w:cs="Arial"/>
          <w:sz w:val="17"/>
          <w:szCs w:val="17"/>
        </w:rPr>
        <w:t>royectó:</w:t>
      </w:r>
      <w:r w:rsidR="00F0221C" w:rsidRPr="00F826CE">
        <w:rPr>
          <w:rFonts w:cs="Arial"/>
          <w:sz w:val="17"/>
          <w:szCs w:val="17"/>
        </w:rPr>
        <w:t xml:space="preserve"> </w:t>
      </w:r>
      <w:r w:rsidR="005B12B3">
        <w:rPr>
          <w:rFonts w:cs="Arial"/>
          <w:sz w:val="17"/>
          <w:szCs w:val="17"/>
        </w:rPr>
        <w:t>Claudia Escobar</w:t>
      </w:r>
      <w:r w:rsidR="00F82D35">
        <w:rPr>
          <w:rFonts w:cs="Arial"/>
          <w:sz w:val="17"/>
          <w:szCs w:val="17"/>
        </w:rPr>
        <w:t>/Julio Vaca</w:t>
      </w:r>
    </w:p>
    <w:p w14:paraId="3A8B49B0" w14:textId="77777777" w:rsidR="005B12B3" w:rsidRDefault="00A2549A" w:rsidP="004C634F">
      <w:pPr>
        <w:spacing w:after="0" w:line="240" w:lineRule="auto"/>
        <w:jc w:val="both"/>
        <w:rPr>
          <w:rFonts w:cs="Arial"/>
          <w:sz w:val="17"/>
          <w:szCs w:val="17"/>
        </w:rPr>
      </w:pPr>
      <w:r w:rsidRPr="00F826CE">
        <w:rPr>
          <w:rFonts w:cs="Arial"/>
          <w:sz w:val="17"/>
          <w:szCs w:val="17"/>
        </w:rPr>
        <w:t>Revisó</w:t>
      </w:r>
      <w:r w:rsidR="009654CE" w:rsidRPr="00F826CE">
        <w:rPr>
          <w:rFonts w:cs="Arial"/>
          <w:sz w:val="17"/>
          <w:szCs w:val="17"/>
        </w:rPr>
        <w:t xml:space="preserve">: </w:t>
      </w:r>
      <w:r w:rsidR="00F82D35">
        <w:rPr>
          <w:rFonts w:cs="Arial"/>
          <w:sz w:val="17"/>
          <w:szCs w:val="17"/>
        </w:rPr>
        <w:t>Yolanda Patiño Chacón</w:t>
      </w:r>
      <w:r w:rsidR="00936B46">
        <w:rPr>
          <w:rFonts w:cs="Arial"/>
          <w:sz w:val="17"/>
          <w:szCs w:val="17"/>
        </w:rPr>
        <w:t>/</w:t>
      </w:r>
      <w:r w:rsidR="00073FE9">
        <w:rPr>
          <w:rFonts w:cs="Arial"/>
          <w:sz w:val="17"/>
          <w:szCs w:val="17"/>
        </w:rPr>
        <w:t>Juan Manuel Andrade</w:t>
      </w:r>
    </w:p>
    <w:p w14:paraId="0C96B63D" w14:textId="77777777" w:rsidR="00530E6E" w:rsidRPr="00F826CE" w:rsidRDefault="00530E6E" w:rsidP="004C634F">
      <w:pPr>
        <w:spacing w:after="0" w:line="240" w:lineRule="auto"/>
        <w:jc w:val="both"/>
        <w:rPr>
          <w:rFonts w:cs="Arial"/>
          <w:sz w:val="17"/>
          <w:szCs w:val="17"/>
        </w:rPr>
      </w:pPr>
      <w:r>
        <w:rPr>
          <w:rFonts w:cs="Arial"/>
          <w:sz w:val="17"/>
          <w:szCs w:val="17"/>
        </w:rPr>
        <w:t xml:space="preserve">Aprobó: </w:t>
      </w:r>
      <w:r w:rsidR="00073FE9">
        <w:rPr>
          <w:rFonts w:cs="Arial"/>
          <w:sz w:val="17"/>
          <w:szCs w:val="17"/>
        </w:rPr>
        <w:t>Alonso Cardona Delgado</w:t>
      </w:r>
      <w:r w:rsidR="00416702">
        <w:rPr>
          <w:rFonts w:cs="Arial"/>
          <w:sz w:val="17"/>
          <w:szCs w:val="17"/>
        </w:rPr>
        <w:t>/</w:t>
      </w:r>
      <w:r w:rsidR="00E207B4">
        <w:rPr>
          <w:rFonts w:cs="Arial"/>
          <w:sz w:val="17"/>
          <w:szCs w:val="17"/>
        </w:rPr>
        <w:t>Carlos Cante Puentes</w:t>
      </w:r>
    </w:p>
    <w:p w14:paraId="0CD9F8B6" w14:textId="77777777" w:rsidR="00614FCF" w:rsidRPr="009654CE" w:rsidRDefault="00614FCF" w:rsidP="004C634F">
      <w:pPr>
        <w:spacing w:after="0" w:line="240" w:lineRule="auto"/>
        <w:jc w:val="both"/>
        <w:rPr>
          <w:rFonts w:cs="Arial"/>
          <w:sz w:val="16"/>
          <w:szCs w:val="16"/>
        </w:rPr>
      </w:pPr>
    </w:p>
    <w:sectPr w:rsidR="00614FCF" w:rsidRPr="009654CE" w:rsidSect="005B213C">
      <w:headerReference w:type="default" r:id="rId8"/>
      <w:footerReference w:type="default" r:id="rId9"/>
      <w:pgSz w:w="12242" w:h="15842" w:code="1"/>
      <w:pgMar w:top="2155" w:right="1752" w:bottom="1418" w:left="1701" w:header="680" w:footer="15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0BCF6" w14:textId="77777777" w:rsidR="00094419" w:rsidRDefault="00094419" w:rsidP="00025374">
      <w:pPr>
        <w:spacing w:after="0" w:line="240" w:lineRule="auto"/>
      </w:pPr>
      <w:r>
        <w:separator/>
      </w:r>
    </w:p>
  </w:endnote>
  <w:endnote w:type="continuationSeparator" w:id="0">
    <w:p w14:paraId="7953744E" w14:textId="77777777" w:rsidR="00094419" w:rsidRDefault="00094419" w:rsidP="00025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5CFF1" w14:textId="74F6F4DE" w:rsidR="00C41270" w:rsidRPr="006437B2" w:rsidRDefault="009714A2" w:rsidP="00C41270">
    <w:pPr>
      <w:pStyle w:val="Piedepgina"/>
      <w:tabs>
        <w:tab w:val="clear" w:pos="4419"/>
      </w:tabs>
      <w:jc w:val="right"/>
      <w:rPr>
        <w:rFonts w:cs="Arial"/>
        <w:sz w:val="20"/>
        <w:szCs w:val="20"/>
      </w:rPr>
    </w:pPr>
    <w:r>
      <w:rPr>
        <w:noProof/>
        <w:lang w:eastAsia="es-CO"/>
      </w:rPr>
      <w:drawing>
        <wp:anchor distT="0" distB="0" distL="114300" distR="114300" simplePos="0" relativeHeight="251657216" behindDoc="1" locked="0" layoutInCell="1" allowOverlap="1" wp14:anchorId="72C4D88C" wp14:editId="04B4674D">
          <wp:simplePos x="0" y="0"/>
          <wp:positionH relativeFrom="page">
            <wp:posOffset>34290</wp:posOffset>
          </wp:positionH>
          <wp:positionV relativeFrom="page">
            <wp:posOffset>8792845</wp:posOffset>
          </wp:positionV>
          <wp:extent cx="7755255" cy="969645"/>
          <wp:effectExtent l="0" t="0" r="0" b="1905"/>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5255" cy="969645"/>
                  </a:xfrm>
                  <a:prstGeom prst="rect">
                    <a:avLst/>
                  </a:prstGeom>
                  <a:noFill/>
                  <a:ln>
                    <a:noFill/>
                  </a:ln>
                </pic:spPr>
              </pic:pic>
            </a:graphicData>
          </a:graphic>
          <wp14:sizeRelH relativeFrom="page">
            <wp14:pctWidth>0</wp14:pctWidth>
          </wp14:sizeRelH>
          <wp14:sizeRelV relativeFrom="page">
            <wp14:pctHeight>0</wp14:pctHeight>
          </wp14:sizeRelV>
        </wp:anchor>
      </w:drawing>
    </w:r>
    <w:r w:rsidR="00C41270" w:rsidRPr="006437B2">
      <w:rPr>
        <w:rFonts w:cs="Arial"/>
        <w:sz w:val="20"/>
        <w:szCs w:val="20"/>
      </w:rPr>
      <w:t xml:space="preserve">Página </w:t>
    </w:r>
    <w:r w:rsidR="00C41270" w:rsidRPr="006437B2">
      <w:rPr>
        <w:rFonts w:cs="Arial"/>
        <w:sz w:val="20"/>
        <w:szCs w:val="20"/>
      </w:rPr>
      <w:fldChar w:fldCharType="begin"/>
    </w:r>
    <w:r w:rsidR="00C41270" w:rsidRPr="006437B2">
      <w:rPr>
        <w:rFonts w:cs="Arial"/>
        <w:sz w:val="20"/>
        <w:szCs w:val="20"/>
      </w:rPr>
      <w:instrText xml:space="preserve"> PAGE  \* Arabic  \* MERGEFORMAT </w:instrText>
    </w:r>
    <w:r w:rsidR="00C41270" w:rsidRPr="006437B2">
      <w:rPr>
        <w:rFonts w:cs="Arial"/>
        <w:sz w:val="20"/>
        <w:szCs w:val="20"/>
      </w:rPr>
      <w:fldChar w:fldCharType="separate"/>
    </w:r>
    <w:r w:rsidR="00482CF2">
      <w:rPr>
        <w:rFonts w:cs="Arial"/>
        <w:noProof/>
        <w:sz w:val="20"/>
        <w:szCs w:val="20"/>
      </w:rPr>
      <w:t>6</w:t>
    </w:r>
    <w:r w:rsidR="00C41270" w:rsidRPr="006437B2">
      <w:rPr>
        <w:rFonts w:cs="Arial"/>
        <w:sz w:val="20"/>
        <w:szCs w:val="20"/>
      </w:rPr>
      <w:fldChar w:fldCharType="end"/>
    </w:r>
    <w:r w:rsidR="00C41270" w:rsidRPr="006437B2">
      <w:rPr>
        <w:rFonts w:cs="Arial"/>
        <w:sz w:val="20"/>
        <w:szCs w:val="20"/>
      </w:rPr>
      <w:t xml:space="preserve"> de</w:t>
    </w:r>
    <w:r w:rsidR="00C41270">
      <w:rPr>
        <w:rFonts w:cs="Arial"/>
        <w:sz w:val="20"/>
        <w:szCs w:val="20"/>
      </w:rPr>
      <w:t xml:space="preserve"> </w:t>
    </w:r>
    <w:r w:rsidR="00C41270">
      <w:rPr>
        <w:rFonts w:cs="Arial"/>
        <w:sz w:val="20"/>
        <w:szCs w:val="20"/>
      </w:rPr>
      <w:fldChar w:fldCharType="begin"/>
    </w:r>
    <w:r w:rsidR="00C41270">
      <w:rPr>
        <w:rFonts w:cs="Arial"/>
        <w:sz w:val="20"/>
        <w:szCs w:val="20"/>
      </w:rPr>
      <w:instrText xml:space="preserve"> NUMPAGES  \* Arabic  \* MERGEFORMAT </w:instrText>
    </w:r>
    <w:r w:rsidR="00C41270">
      <w:rPr>
        <w:rFonts w:cs="Arial"/>
        <w:sz w:val="20"/>
        <w:szCs w:val="20"/>
      </w:rPr>
      <w:fldChar w:fldCharType="separate"/>
    </w:r>
    <w:r w:rsidR="00482CF2">
      <w:rPr>
        <w:rFonts w:cs="Arial"/>
        <w:noProof/>
        <w:sz w:val="20"/>
        <w:szCs w:val="20"/>
      </w:rPr>
      <w:t>6</w:t>
    </w:r>
    <w:r w:rsidR="00C41270">
      <w:rPr>
        <w:rFonts w:cs="Arial"/>
        <w:sz w:val="20"/>
        <w:szCs w:val="20"/>
      </w:rPr>
      <w:fldChar w:fldCharType="end"/>
    </w:r>
  </w:p>
  <w:p w14:paraId="649720F2" w14:textId="77777777" w:rsidR="00C41270" w:rsidRDefault="00C41270" w:rsidP="00C41270">
    <w:pPr>
      <w:pStyle w:val="Piedepgina"/>
      <w:jc w:val="center"/>
    </w:pPr>
  </w:p>
  <w:p w14:paraId="14D7E04C" w14:textId="77777777" w:rsidR="00412EC3" w:rsidRPr="00C41270" w:rsidRDefault="00412EC3" w:rsidP="00C4127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3AE4F" w14:textId="77777777" w:rsidR="00094419" w:rsidRDefault="00094419" w:rsidP="00025374">
      <w:pPr>
        <w:spacing w:after="0" w:line="240" w:lineRule="auto"/>
      </w:pPr>
      <w:r>
        <w:separator/>
      </w:r>
    </w:p>
  </w:footnote>
  <w:footnote w:type="continuationSeparator" w:id="0">
    <w:p w14:paraId="0854EEC5" w14:textId="77777777" w:rsidR="00094419" w:rsidRDefault="00094419" w:rsidP="00025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FE708" w14:textId="77777777" w:rsidR="00412EC3" w:rsidRDefault="009714A2" w:rsidP="00412EC3">
    <w:pPr>
      <w:pStyle w:val="Encabezado"/>
      <w:tabs>
        <w:tab w:val="clear" w:pos="4419"/>
        <w:tab w:val="clear" w:pos="8838"/>
      </w:tabs>
    </w:pPr>
    <w:r>
      <w:rPr>
        <w:noProof/>
        <w:lang w:eastAsia="es-CO"/>
      </w:rPr>
      <w:drawing>
        <wp:inline distT="0" distB="0" distL="0" distR="0" wp14:anchorId="2D2225D9" wp14:editId="1212B560">
          <wp:extent cx="2402205" cy="6159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2205" cy="6159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59C5"/>
    <w:multiLevelType w:val="hybridMultilevel"/>
    <w:tmpl w:val="6BCE2D54"/>
    <w:lvl w:ilvl="0" w:tplc="A88EE244">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63B45E3"/>
    <w:multiLevelType w:val="hybridMultilevel"/>
    <w:tmpl w:val="80689458"/>
    <w:lvl w:ilvl="0" w:tplc="240A000F">
      <w:start w:val="1"/>
      <w:numFmt w:val="decimal"/>
      <w:lvlText w:val="%1."/>
      <w:lvlJc w:val="left"/>
      <w:pPr>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6E776E"/>
    <w:multiLevelType w:val="hybridMultilevel"/>
    <w:tmpl w:val="F942E056"/>
    <w:lvl w:ilvl="0" w:tplc="374A6A0E">
      <w:numFmt w:val="bullet"/>
      <w:lvlText w:val="-"/>
      <w:lvlJc w:val="left"/>
      <w:pPr>
        <w:ind w:left="1146" w:hanging="360"/>
      </w:pPr>
      <w:rPr>
        <w:rFonts w:ascii="Arial" w:eastAsia="Calibri" w:hAnsi="Arial" w:cs="Aria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 w15:restartNumberingAfterBreak="0">
    <w:nsid w:val="09AF25BF"/>
    <w:multiLevelType w:val="hybridMultilevel"/>
    <w:tmpl w:val="055E56B8"/>
    <w:lvl w:ilvl="0" w:tplc="3A58A406">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54D6B3A"/>
    <w:multiLevelType w:val="hybridMultilevel"/>
    <w:tmpl w:val="54828FB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C17461F"/>
    <w:multiLevelType w:val="hybridMultilevel"/>
    <w:tmpl w:val="BAE45D60"/>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209A6422"/>
    <w:multiLevelType w:val="multilevel"/>
    <w:tmpl w:val="77A8C5E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A731C98"/>
    <w:multiLevelType w:val="hybridMultilevel"/>
    <w:tmpl w:val="80689458"/>
    <w:lvl w:ilvl="0" w:tplc="240A000F">
      <w:start w:val="1"/>
      <w:numFmt w:val="decimal"/>
      <w:lvlText w:val="%1."/>
      <w:lvlJc w:val="left"/>
      <w:pPr>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AED5725"/>
    <w:multiLevelType w:val="hybridMultilevel"/>
    <w:tmpl w:val="02D4ED2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AF21CCF"/>
    <w:multiLevelType w:val="hybridMultilevel"/>
    <w:tmpl w:val="B8D66A14"/>
    <w:lvl w:ilvl="0" w:tplc="1132029C">
      <w:start w:val="1"/>
      <w:numFmt w:val="decimal"/>
      <w:lvlText w:val="ARTÍCULO 2.2.6.1.%1."/>
      <w:lvlJc w:val="left"/>
      <w:pPr>
        <w:ind w:left="360" w:hanging="360"/>
      </w:pPr>
      <w:rPr>
        <w:rFonts w:hint="default"/>
        <w:b/>
      </w:rPr>
    </w:lvl>
    <w:lvl w:ilvl="1" w:tplc="240A0019" w:tentative="1">
      <w:start w:val="1"/>
      <w:numFmt w:val="lowerLetter"/>
      <w:lvlText w:val="%2."/>
      <w:lvlJc w:val="left"/>
      <w:pPr>
        <w:ind w:left="-545" w:hanging="360"/>
      </w:pPr>
    </w:lvl>
    <w:lvl w:ilvl="2" w:tplc="240A001B" w:tentative="1">
      <w:start w:val="1"/>
      <w:numFmt w:val="lowerRoman"/>
      <w:lvlText w:val="%3."/>
      <w:lvlJc w:val="right"/>
      <w:pPr>
        <w:ind w:left="175" w:hanging="180"/>
      </w:pPr>
    </w:lvl>
    <w:lvl w:ilvl="3" w:tplc="240A000F" w:tentative="1">
      <w:start w:val="1"/>
      <w:numFmt w:val="decimal"/>
      <w:lvlText w:val="%4."/>
      <w:lvlJc w:val="left"/>
      <w:pPr>
        <w:ind w:left="895" w:hanging="360"/>
      </w:pPr>
    </w:lvl>
    <w:lvl w:ilvl="4" w:tplc="240A0019" w:tentative="1">
      <w:start w:val="1"/>
      <w:numFmt w:val="lowerLetter"/>
      <w:lvlText w:val="%5."/>
      <w:lvlJc w:val="left"/>
      <w:pPr>
        <w:ind w:left="1615" w:hanging="360"/>
      </w:pPr>
    </w:lvl>
    <w:lvl w:ilvl="5" w:tplc="240A001B" w:tentative="1">
      <w:start w:val="1"/>
      <w:numFmt w:val="lowerRoman"/>
      <w:lvlText w:val="%6."/>
      <w:lvlJc w:val="right"/>
      <w:pPr>
        <w:ind w:left="2335" w:hanging="180"/>
      </w:pPr>
    </w:lvl>
    <w:lvl w:ilvl="6" w:tplc="240A000F" w:tentative="1">
      <w:start w:val="1"/>
      <w:numFmt w:val="decimal"/>
      <w:lvlText w:val="%7."/>
      <w:lvlJc w:val="left"/>
      <w:pPr>
        <w:ind w:left="3055" w:hanging="360"/>
      </w:pPr>
    </w:lvl>
    <w:lvl w:ilvl="7" w:tplc="240A0019" w:tentative="1">
      <w:start w:val="1"/>
      <w:numFmt w:val="lowerLetter"/>
      <w:lvlText w:val="%8."/>
      <w:lvlJc w:val="left"/>
      <w:pPr>
        <w:ind w:left="3775" w:hanging="360"/>
      </w:pPr>
    </w:lvl>
    <w:lvl w:ilvl="8" w:tplc="240A001B" w:tentative="1">
      <w:start w:val="1"/>
      <w:numFmt w:val="lowerRoman"/>
      <w:lvlText w:val="%9."/>
      <w:lvlJc w:val="right"/>
      <w:pPr>
        <w:ind w:left="4495" w:hanging="180"/>
      </w:pPr>
    </w:lvl>
  </w:abstractNum>
  <w:abstractNum w:abstractNumId="10" w15:restartNumberingAfterBreak="0">
    <w:nsid w:val="5A744CD7"/>
    <w:multiLevelType w:val="hybridMultilevel"/>
    <w:tmpl w:val="4EB4CA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5BB56E8"/>
    <w:multiLevelType w:val="singleLevel"/>
    <w:tmpl w:val="0C0A000D"/>
    <w:lvl w:ilvl="0">
      <w:start w:val="1"/>
      <w:numFmt w:val="bullet"/>
      <w:lvlText w:val=""/>
      <w:lvlJc w:val="left"/>
      <w:pPr>
        <w:tabs>
          <w:tab w:val="num" w:pos="360"/>
        </w:tabs>
        <w:ind w:left="360" w:hanging="360"/>
      </w:pPr>
      <w:rPr>
        <w:rFonts w:ascii="Wingdings" w:hAnsi="Wingdings" w:hint="default"/>
      </w:rPr>
    </w:lvl>
  </w:abstractNum>
  <w:num w:numId="1">
    <w:abstractNumId w:val="11"/>
  </w:num>
  <w:num w:numId="2">
    <w:abstractNumId w:val="7"/>
  </w:num>
  <w:num w:numId="3">
    <w:abstractNumId w:val="4"/>
  </w:num>
  <w:num w:numId="4">
    <w:abstractNumId w:val="6"/>
  </w:num>
  <w:num w:numId="5">
    <w:abstractNumId w:val="3"/>
  </w:num>
  <w:num w:numId="6">
    <w:abstractNumId w:val="10"/>
  </w:num>
  <w:num w:numId="7">
    <w:abstractNumId w:val="8"/>
  </w:num>
  <w:num w:numId="8">
    <w:abstractNumId w:val="5"/>
  </w:num>
  <w:num w:numId="9">
    <w:abstractNumId w:val="0"/>
  </w:num>
  <w:num w:numId="10">
    <w:abstractNumId w:val="2"/>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attachedTemplate r:id="rId1"/>
  <w:trackRevisions/>
  <w:defaultTabStop w:val="708"/>
  <w:hyphenationZone w:val="425"/>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2FD"/>
    <w:rsid w:val="000040E6"/>
    <w:rsid w:val="00012C1F"/>
    <w:rsid w:val="00025374"/>
    <w:rsid w:val="00034C20"/>
    <w:rsid w:val="00036693"/>
    <w:rsid w:val="00047C54"/>
    <w:rsid w:val="00052A8A"/>
    <w:rsid w:val="0005556A"/>
    <w:rsid w:val="000579A4"/>
    <w:rsid w:val="0006094A"/>
    <w:rsid w:val="000611DE"/>
    <w:rsid w:val="00062D44"/>
    <w:rsid w:val="0006594D"/>
    <w:rsid w:val="00073FE9"/>
    <w:rsid w:val="000818FD"/>
    <w:rsid w:val="00094419"/>
    <w:rsid w:val="00096E5D"/>
    <w:rsid w:val="000A0064"/>
    <w:rsid w:val="000A088E"/>
    <w:rsid w:val="000B6924"/>
    <w:rsid w:val="000B7D13"/>
    <w:rsid w:val="000C31F4"/>
    <w:rsid w:val="000C710D"/>
    <w:rsid w:val="000D1843"/>
    <w:rsid w:val="000D531D"/>
    <w:rsid w:val="000D7630"/>
    <w:rsid w:val="000F23FD"/>
    <w:rsid w:val="00104A8E"/>
    <w:rsid w:val="00112BF0"/>
    <w:rsid w:val="00113932"/>
    <w:rsid w:val="0013096A"/>
    <w:rsid w:val="00133FBB"/>
    <w:rsid w:val="00147C27"/>
    <w:rsid w:val="00151E72"/>
    <w:rsid w:val="00151E98"/>
    <w:rsid w:val="00153B60"/>
    <w:rsid w:val="001562E9"/>
    <w:rsid w:val="00162228"/>
    <w:rsid w:val="0016769E"/>
    <w:rsid w:val="00171A5C"/>
    <w:rsid w:val="00172CDF"/>
    <w:rsid w:val="0017366D"/>
    <w:rsid w:val="001807AD"/>
    <w:rsid w:val="001826A4"/>
    <w:rsid w:val="00187662"/>
    <w:rsid w:val="00191B36"/>
    <w:rsid w:val="0019712D"/>
    <w:rsid w:val="001A3DFB"/>
    <w:rsid w:val="001A5D60"/>
    <w:rsid w:val="001D27AF"/>
    <w:rsid w:val="001E69DE"/>
    <w:rsid w:val="001F1729"/>
    <w:rsid w:val="002069D1"/>
    <w:rsid w:val="00212953"/>
    <w:rsid w:val="00215D76"/>
    <w:rsid w:val="00231BE5"/>
    <w:rsid w:val="00231C3F"/>
    <w:rsid w:val="00234431"/>
    <w:rsid w:val="00234C4A"/>
    <w:rsid w:val="002402F9"/>
    <w:rsid w:val="00246418"/>
    <w:rsid w:val="002507E2"/>
    <w:rsid w:val="00280777"/>
    <w:rsid w:val="002857A0"/>
    <w:rsid w:val="0028582C"/>
    <w:rsid w:val="00286669"/>
    <w:rsid w:val="0029180C"/>
    <w:rsid w:val="00292C5A"/>
    <w:rsid w:val="002930C1"/>
    <w:rsid w:val="002978B2"/>
    <w:rsid w:val="00297F5C"/>
    <w:rsid w:val="002A04FF"/>
    <w:rsid w:val="002A1418"/>
    <w:rsid w:val="002A3856"/>
    <w:rsid w:val="002A54BE"/>
    <w:rsid w:val="002A6E48"/>
    <w:rsid w:val="002B2ADD"/>
    <w:rsid w:val="002B3C86"/>
    <w:rsid w:val="002B7023"/>
    <w:rsid w:val="002C3413"/>
    <w:rsid w:val="002C73D7"/>
    <w:rsid w:val="002D2206"/>
    <w:rsid w:val="002D7097"/>
    <w:rsid w:val="002E7544"/>
    <w:rsid w:val="002F050D"/>
    <w:rsid w:val="002F2837"/>
    <w:rsid w:val="00310CB2"/>
    <w:rsid w:val="0031341A"/>
    <w:rsid w:val="003135EA"/>
    <w:rsid w:val="00315472"/>
    <w:rsid w:val="00317D0E"/>
    <w:rsid w:val="00321D88"/>
    <w:rsid w:val="00340EBA"/>
    <w:rsid w:val="00343903"/>
    <w:rsid w:val="00351C02"/>
    <w:rsid w:val="00357296"/>
    <w:rsid w:val="00362B0B"/>
    <w:rsid w:val="00372717"/>
    <w:rsid w:val="0037383A"/>
    <w:rsid w:val="00375842"/>
    <w:rsid w:val="00375F2E"/>
    <w:rsid w:val="00382A42"/>
    <w:rsid w:val="003838D2"/>
    <w:rsid w:val="003A2779"/>
    <w:rsid w:val="003B0074"/>
    <w:rsid w:val="003B51C4"/>
    <w:rsid w:val="003B539F"/>
    <w:rsid w:val="003C3C6E"/>
    <w:rsid w:val="003E18ED"/>
    <w:rsid w:val="003F0212"/>
    <w:rsid w:val="003F117E"/>
    <w:rsid w:val="003F3C8F"/>
    <w:rsid w:val="003F58FC"/>
    <w:rsid w:val="00402D45"/>
    <w:rsid w:val="00412369"/>
    <w:rsid w:val="00412EC3"/>
    <w:rsid w:val="004130D6"/>
    <w:rsid w:val="00413DCD"/>
    <w:rsid w:val="00416702"/>
    <w:rsid w:val="0042215C"/>
    <w:rsid w:val="004221A7"/>
    <w:rsid w:val="00430745"/>
    <w:rsid w:val="0043270E"/>
    <w:rsid w:val="0043437E"/>
    <w:rsid w:val="004351DB"/>
    <w:rsid w:val="00435EA4"/>
    <w:rsid w:val="004360C4"/>
    <w:rsid w:val="00441FDB"/>
    <w:rsid w:val="00446C19"/>
    <w:rsid w:val="00450442"/>
    <w:rsid w:val="00451DC9"/>
    <w:rsid w:val="004566C2"/>
    <w:rsid w:val="00457541"/>
    <w:rsid w:val="004604DA"/>
    <w:rsid w:val="00460E17"/>
    <w:rsid w:val="00462FB5"/>
    <w:rsid w:val="00466850"/>
    <w:rsid w:val="00477347"/>
    <w:rsid w:val="00477F84"/>
    <w:rsid w:val="00482CF2"/>
    <w:rsid w:val="00483FCA"/>
    <w:rsid w:val="00485865"/>
    <w:rsid w:val="00493D59"/>
    <w:rsid w:val="004A1E75"/>
    <w:rsid w:val="004A21BD"/>
    <w:rsid w:val="004B57FF"/>
    <w:rsid w:val="004B66DD"/>
    <w:rsid w:val="004C634F"/>
    <w:rsid w:val="004D148C"/>
    <w:rsid w:val="004D2683"/>
    <w:rsid w:val="004D29CA"/>
    <w:rsid w:val="004D724B"/>
    <w:rsid w:val="004E28D7"/>
    <w:rsid w:val="004E6B1C"/>
    <w:rsid w:val="004E7011"/>
    <w:rsid w:val="004F79B5"/>
    <w:rsid w:val="00505D42"/>
    <w:rsid w:val="0050615B"/>
    <w:rsid w:val="00506366"/>
    <w:rsid w:val="005117DD"/>
    <w:rsid w:val="005161CD"/>
    <w:rsid w:val="00517F88"/>
    <w:rsid w:val="005216A8"/>
    <w:rsid w:val="00530E6E"/>
    <w:rsid w:val="00533E9D"/>
    <w:rsid w:val="00535D0D"/>
    <w:rsid w:val="0053616C"/>
    <w:rsid w:val="00543831"/>
    <w:rsid w:val="00561CE4"/>
    <w:rsid w:val="0057166D"/>
    <w:rsid w:val="00574BFB"/>
    <w:rsid w:val="005771DC"/>
    <w:rsid w:val="00597D1B"/>
    <w:rsid w:val="005B12B3"/>
    <w:rsid w:val="005B1E8E"/>
    <w:rsid w:val="005B213C"/>
    <w:rsid w:val="005B292E"/>
    <w:rsid w:val="005B3762"/>
    <w:rsid w:val="005B4FF4"/>
    <w:rsid w:val="005B5863"/>
    <w:rsid w:val="005B5B3B"/>
    <w:rsid w:val="005C55AF"/>
    <w:rsid w:val="005C7B70"/>
    <w:rsid w:val="005D6A28"/>
    <w:rsid w:val="005E4F07"/>
    <w:rsid w:val="005E5005"/>
    <w:rsid w:val="005F48F9"/>
    <w:rsid w:val="005F7145"/>
    <w:rsid w:val="005F71EF"/>
    <w:rsid w:val="00601CDE"/>
    <w:rsid w:val="00603B4A"/>
    <w:rsid w:val="00613765"/>
    <w:rsid w:val="00613ED4"/>
    <w:rsid w:val="00614FCF"/>
    <w:rsid w:val="00621212"/>
    <w:rsid w:val="006239F1"/>
    <w:rsid w:val="006240FE"/>
    <w:rsid w:val="00630C88"/>
    <w:rsid w:val="00631DA5"/>
    <w:rsid w:val="00632469"/>
    <w:rsid w:val="0064657C"/>
    <w:rsid w:val="006523FF"/>
    <w:rsid w:val="00657F1A"/>
    <w:rsid w:val="006600C7"/>
    <w:rsid w:val="00660FE4"/>
    <w:rsid w:val="00672854"/>
    <w:rsid w:val="006863A5"/>
    <w:rsid w:val="00686D69"/>
    <w:rsid w:val="0069383B"/>
    <w:rsid w:val="006A0F22"/>
    <w:rsid w:val="006A119F"/>
    <w:rsid w:val="006B04AF"/>
    <w:rsid w:val="006B2075"/>
    <w:rsid w:val="006B2FD0"/>
    <w:rsid w:val="006B3084"/>
    <w:rsid w:val="006B5698"/>
    <w:rsid w:val="006C10F2"/>
    <w:rsid w:val="006C1BEA"/>
    <w:rsid w:val="006C3969"/>
    <w:rsid w:val="006C77D1"/>
    <w:rsid w:val="006D1387"/>
    <w:rsid w:val="006D4A83"/>
    <w:rsid w:val="006D5D64"/>
    <w:rsid w:val="006F45CC"/>
    <w:rsid w:val="006F4BA2"/>
    <w:rsid w:val="007010A4"/>
    <w:rsid w:val="00711285"/>
    <w:rsid w:val="00712907"/>
    <w:rsid w:val="007265C6"/>
    <w:rsid w:val="00731F96"/>
    <w:rsid w:val="0073283B"/>
    <w:rsid w:val="00732AF7"/>
    <w:rsid w:val="00746B8C"/>
    <w:rsid w:val="00753702"/>
    <w:rsid w:val="00755EA6"/>
    <w:rsid w:val="00763807"/>
    <w:rsid w:val="00764325"/>
    <w:rsid w:val="007664E2"/>
    <w:rsid w:val="00767D55"/>
    <w:rsid w:val="007800E6"/>
    <w:rsid w:val="0078060D"/>
    <w:rsid w:val="00785736"/>
    <w:rsid w:val="0078763E"/>
    <w:rsid w:val="007961E9"/>
    <w:rsid w:val="007A0232"/>
    <w:rsid w:val="007A1836"/>
    <w:rsid w:val="007A2680"/>
    <w:rsid w:val="007A7B46"/>
    <w:rsid w:val="007B1D4E"/>
    <w:rsid w:val="007C77AC"/>
    <w:rsid w:val="007D55FF"/>
    <w:rsid w:val="007D565D"/>
    <w:rsid w:val="007E2C4E"/>
    <w:rsid w:val="007E5DBD"/>
    <w:rsid w:val="007F04F0"/>
    <w:rsid w:val="007F3619"/>
    <w:rsid w:val="007F5DA2"/>
    <w:rsid w:val="007F7A47"/>
    <w:rsid w:val="00803B2C"/>
    <w:rsid w:val="00806483"/>
    <w:rsid w:val="00820DFE"/>
    <w:rsid w:val="0082243F"/>
    <w:rsid w:val="00841572"/>
    <w:rsid w:val="00841AB4"/>
    <w:rsid w:val="00841CB2"/>
    <w:rsid w:val="0085390E"/>
    <w:rsid w:val="00856349"/>
    <w:rsid w:val="00857F51"/>
    <w:rsid w:val="00860A65"/>
    <w:rsid w:val="008671E5"/>
    <w:rsid w:val="00874B42"/>
    <w:rsid w:val="008806C4"/>
    <w:rsid w:val="008807BF"/>
    <w:rsid w:val="00887EC3"/>
    <w:rsid w:val="008946BD"/>
    <w:rsid w:val="00895BAA"/>
    <w:rsid w:val="00896810"/>
    <w:rsid w:val="00897CE7"/>
    <w:rsid w:val="008A0DE6"/>
    <w:rsid w:val="008A23D8"/>
    <w:rsid w:val="008B0A66"/>
    <w:rsid w:val="008B342E"/>
    <w:rsid w:val="008B732D"/>
    <w:rsid w:val="008C0E82"/>
    <w:rsid w:val="008C2780"/>
    <w:rsid w:val="008C4560"/>
    <w:rsid w:val="008C46A3"/>
    <w:rsid w:val="008C7665"/>
    <w:rsid w:val="008D269E"/>
    <w:rsid w:val="008E5436"/>
    <w:rsid w:val="008F633F"/>
    <w:rsid w:val="00901CC3"/>
    <w:rsid w:val="009040BE"/>
    <w:rsid w:val="0091496E"/>
    <w:rsid w:val="00922572"/>
    <w:rsid w:val="00924AB3"/>
    <w:rsid w:val="00924BE5"/>
    <w:rsid w:val="00927DA1"/>
    <w:rsid w:val="00932105"/>
    <w:rsid w:val="00933D19"/>
    <w:rsid w:val="00936B46"/>
    <w:rsid w:val="00944B41"/>
    <w:rsid w:val="00952BB4"/>
    <w:rsid w:val="009555E1"/>
    <w:rsid w:val="00955C8F"/>
    <w:rsid w:val="00961CFD"/>
    <w:rsid w:val="00963724"/>
    <w:rsid w:val="009654CE"/>
    <w:rsid w:val="009714A2"/>
    <w:rsid w:val="00973F0E"/>
    <w:rsid w:val="009768FD"/>
    <w:rsid w:val="00980ECC"/>
    <w:rsid w:val="009A07D2"/>
    <w:rsid w:val="009A3B68"/>
    <w:rsid w:val="009B1394"/>
    <w:rsid w:val="009B260B"/>
    <w:rsid w:val="009B5F31"/>
    <w:rsid w:val="009D25B2"/>
    <w:rsid w:val="009D76FA"/>
    <w:rsid w:val="009F20B9"/>
    <w:rsid w:val="009F39AB"/>
    <w:rsid w:val="009F4BC3"/>
    <w:rsid w:val="009F5F5A"/>
    <w:rsid w:val="009F6F54"/>
    <w:rsid w:val="00A010B4"/>
    <w:rsid w:val="00A01FA6"/>
    <w:rsid w:val="00A03EBE"/>
    <w:rsid w:val="00A06DF1"/>
    <w:rsid w:val="00A07656"/>
    <w:rsid w:val="00A202FB"/>
    <w:rsid w:val="00A23EC4"/>
    <w:rsid w:val="00A2549A"/>
    <w:rsid w:val="00A30F0A"/>
    <w:rsid w:val="00A332F9"/>
    <w:rsid w:val="00A461D1"/>
    <w:rsid w:val="00A5434F"/>
    <w:rsid w:val="00A551D5"/>
    <w:rsid w:val="00A65D87"/>
    <w:rsid w:val="00A72494"/>
    <w:rsid w:val="00A733D5"/>
    <w:rsid w:val="00A76612"/>
    <w:rsid w:val="00A813CD"/>
    <w:rsid w:val="00A827CF"/>
    <w:rsid w:val="00A86E15"/>
    <w:rsid w:val="00A90E62"/>
    <w:rsid w:val="00A933B0"/>
    <w:rsid w:val="00A96AB4"/>
    <w:rsid w:val="00AA6876"/>
    <w:rsid w:val="00AA6F36"/>
    <w:rsid w:val="00AB23D2"/>
    <w:rsid w:val="00AB4DDF"/>
    <w:rsid w:val="00AB6329"/>
    <w:rsid w:val="00AB6849"/>
    <w:rsid w:val="00AB6BDE"/>
    <w:rsid w:val="00AD401E"/>
    <w:rsid w:val="00AD4D07"/>
    <w:rsid w:val="00AE272F"/>
    <w:rsid w:val="00AF72BC"/>
    <w:rsid w:val="00AF7F81"/>
    <w:rsid w:val="00B17226"/>
    <w:rsid w:val="00B20D65"/>
    <w:rsid w:val="00B21798"/>
    <w:rsid w:val="00B220E0"/>
    <w:rsid w:val="00B22BD8"/>
    <w:rsid w:val="00B32D17"/>
    <w:rsid w:val="00B364DA"/>
    <w:rsid w:val="00B370C2"/>
    <w:rsid w:val="00B429BE"/>
    <w:rsid w:val="00B61305"/>
    <w:rsid w:val="00B677CE"/>
    <w:rsid w:val="00B67ECC"/>
    <w:rsid w:val="00B828D2"/>
    <w:rsid w:val="00B91B47"/>
    <w:rsid w:val="00B94D0D"/>
    <w:rsid w:val="00B95A21"/>
    <w:rsid w:val="00B97AC7"/>
    <w:rsid w:val="00BA2715"/>
    <w:rsid w:val="00BA4EE2"/>
    <w:rsid w:val="00BA50AC"/>
    <w:rsid w:val="00BB520C"/>
    <w:rsid w:val="00BB6F33"/>
    <w:rsid w:val="00BE3685"/>
    <w:rsid w:val="00BE519E"/>
    <w:rsid w:val="00BE6971"/>
    <w:rsid w:val="00BF000F"/>
    <w:rsid w:val="00BF671F"/>
    <w:rsid w:val="00BF7103"/>
    <w:rsid w:val="00C01FC0"/>
    <w:rsid w:val="00C03AF8"/>
    <w:rsid w:val="00C06103"/>
    <w:rsid w:val="00C106DB"/>
    <w:rsid w:val="00C22168"/>
    <w:rsid w:val="00C25F12"/>
    <w:rsid w:val="00C31808"/>
    <w:rsid w:val="00C32367"/>
    <w:rsid w:val="00C339F1"/>
    <w:rsid w:val="00C378EE"/>
    <w:rsid w:val="00C41270"/>
    <w:rsid w:val="00C422FD"/>
    <w:rsid w:val="00C5395F"/>
    <w:rsid w:val="00C554BB"/>
    <w:rsid w:val="00C6159E"/>
    <w:rsid w:val="00C62C5B"/>
    <w:rsid w:val="00C765BE"/>
    <w:rsid w:val="00C810EF"/>
    <w:rsid w:val="00C91D79"/>
    <w:rsid w:val="00C941E7"/>
    <w:rsid w:val="00CA78A1"/>
    <w:rsid w:val="00CB0683"/>
    <w:rsid w:val="00CB1CB0"/>
    <w:rsid w:val="00CC2359"/>
    <w:rsid w:val="00CD6670"/>
    <w:rsid w:val="00CE3F56"/>
    <w:rsid w:val="00CF70B3"/>
    <w:rsid w:val="00D039DC"/>
    <w:rsid w:val="00D03C61"/>
    <w:rsid w:val="00D13383"/>
    <w:rsid w:val="00D150CB"/>
    <w:rsid w:val="00D152D5"/>
    <w:rsid w:val="00D2050D"/>
    <w:rsid w:val="00D22F34"/>
    <w:rsid w:val="00D23315"/>
    <w:rsid w:val="00D234A3"/>
    <w:rsid w:val="00D35492"/>
    <w:rsid w:val="00D35617"/>
    <w:rsid w:val="00D35CCE"/>
    <w:rsid w:val="00D44754"/>
    <w:rsid w:val="00D46A49"/>
    <w:rsid w:val="00D46E80"/>
    <w:rsid w:val="00D47BC0"/>
    <w:rsid w:val="00D504BD"/>
    <w:rsid w:val="00D52F39"/>
    <w:rsid w:val="00D5445E"/>
    <w:rsid w:val="00D5651C"/>
    <w:rsid w:val="00D60E8B"/>
    <w:rsid w:val="00D616D0"/>
    <w:rsid w:val="00D6286E"/>
    <w:rsid w:val="00D631A3"/>
    <w:rsid w:val="00D67D5D"/>
    <w:rsid w:val="00D74354"/>
    <w:rsid w:val="00D769E5"/>
    <w:rsid w:val="00D87576"/>
    <w:rsid w:val="00D947D2"/>
    <w:rsid w:val="00DA07C2"/>
    <w:rsid w:val="00DA5DCB"/>
    <w:rsid w:val="00DB4152"/>
    <w:rsid w:val="00DC0F46"/>
    <w:rsid w:val="00DC4676"/>
    <w:rsid w:val="00DD591B"/>
    <w:rsid w:val="00DE07A1"/>
    <w:rsid w:val="00DE1B9F"/>
    <w:rsid w:val="00DF1BBB"/>
    <w:rsid w:val="00DF21CC"/>
    <w:rsid w:val="00DF5C0C"/>
    <w:rsid w:val="00E000A6"/>
    <w:rsid w:val="00E1194B"/>
    <w:rsid w:val="00E13733"/>
    <w:rsid w:val="00E16B39"/>
    <w:rsid w:val="00E173DA"/>
    <w:rsid w:val="00E207B4"/>
    <w:rsid w:val="00E212B8"/>
    <w:rsid w:val="00E274CE"/>
    <w:rsid w:val="00E3197E"/>
    <w:rsid w:val="00E332D5"/>
    <w:rsid w:val="00E3551F"/>
    <w:rsid w:val="00E37422"/>
    <w:rsid w:val="00E41688"/>
    <w:rsid w:val="00E41B9F"/>
    <w:rsid w:val="00E4623A"/>
    <w:rsid w:val="00E55D14"/>
    <w:rsid w:val="00E5675B"/>
    <w:rsid w:val="00E64185"/>
    <w:rsid w:val="00E9078C"/>
    <w:rsid w:val="00E911F8"/>
    <w:rsid w:val="00E95C45"/>
    <w:rsid w:val="00EA30FF"/>
    <w:rsid w:val="00EA6F43"/>
    <w:rsid w:val="00EB02A3"/>
    <w:rsid w:val="00EB44FC"/>
    <w:rsid w:val="00EC14E1"/>
    <w:rsid w:val="00EC2B07"/>
    <w:rsid w:val="00EC57E5"/>
    <w:rsid w:val="00ED3286"/>
    <w:rsid w:val="00ED33D1"/>
    <w:rsid w:val="00ED4581"/>
    <w:rsid w:val="00ED4B4A"/>
    <w:rsid w:val="00ED4EB8"/>
    <w:rsid w:val="00EE49AC"/>
    <w:rsid w:val="00EF0F60"/>
    <w:rsid w:val="00EF25DB"/>
    <w:rsid w:val="00EF42C1"/>
    <w:rsid w:val="00F01EF6"/>
    <w:rsid w:val="00F0221C"/>
    <w:rsid w:val="00F07098"/>
    <w:rsid w:val="00F10431"/>
    <w:rsid w:val="00F11BA2"/>
    <w:rsid w:val="00F13D13"/>
    <w:rsid w:val="00F22674"/>
    <w:rsid w:val="00F32094"/>
    <w:rsid w:val="00F36400"/>
    <w:rsid w:val="00F374D4"/>
    <w:rsid w:val="00F41E0C"/>
    <w:rsid w:val="00F43DD9"/>
    <w:rsid w:val="00F64C28"/>
    <w:rsid w:val="00F72C7E"/>
    <w:rsid w:val="00F730F0"/>
    <w:rsid w:val="00F80BC0"/>
    <w:rsid w:val="00F826CE"/>
    <w:rsid w:val="00F82D35"/>
    <w:rsid w:val="00F872D7"/>
    <w:rsid w:val="00F87D7C"/>
    <w:rsid w:val="00FB7D09"/>
    <w:rsid w:val="00FC2006"/>
    <w:rsid w:val="00FD50F9"/>
    <w:rsid w:val="00FE30FD"/>
    <w:rsid w:val="00FF0C6B"/>
    <w:rsid w:val="00FF325F"/>
    <w:rsid w:val="00FF6F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C8358"/>
  <w15:chartTrackingRefBased/>
  <w15:docId w15:val="{92067AB7-BF03-4484-956F-0B5FEB5A4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CD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53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5374"/>
  </w:style>
  <w:style w:type="paragraph" w:styleId="Piedepgina">
    <w:name w:val="footer"/>
    <w:basedOn w:val="Normal"/>
    <w:link w:val="PiedepginaCar"/>
    <w:uiPriority w:val="99"/>
    <w:unhideWhenUsed/>
    <w:rsid w:val="000253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5374"/>
  </w:style>
  <w:style w:type="paragraph" w:styleId="Textodeglobo">
    <w:name w:val="Balloon Text"/>
    <w:basedOn w:val="Normal"/>
    <w:link w:val="TextodegloboCar"/>
    <w:uiPriority w:val="99"/>
    <w:semiHidden/>
    <w:unhideWhenUsed/>
    <w:rsid w:val="00025374"/>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025374"/>
    <w:rPr>
      <w:rFonts w:ascii="Tahoma" w:hAnsi="Tahoma" w:cs="Tahoma"/>
      <w:sz w:val="16"/>
      <w:szCs w:val="16"/>
    </w:rPr>
  </w:style>
  <w:style w:type="paragraph" w:styleId="Textoindependiente">
    <w:name w:val="Body Text"/>
    <w:basedOn w:val="Normal"/>
    <w:link w:val="TextoindependienteCar"/>
    <w:unhideWhenUsed/>
    <w:rsid w:val="00104A8E"/>
    <w:pPr>
      <w:spacing w:after="0" w:line="240" w:lineRule="auto"/>
      <w:jc w:val="both"/>
    </w:pPr>
    <w:rPr>
      <w:rFonts w:eastAsia="Times New Roman"/>
      <w:sz w:val="24"/>
      <w:szCs w:val="20"/>
      <w:lang w:val="es-ES_tradnl" w:eastAsia="es-ES"/>
    </w:rPr>
  </w:style>
  <w:style w:type="character" w:customStyle="1" w:styleId="TextoindependienteCar">
    <w:name w:val="Texto independiente Car"/>
    <w:link w:val="Textoindependiente"/>
    <w:rsid w:val="00104A8E"/>
    <w:rPr>
      <w:rFonts w:ascii="Arial" w:eastAsia="Times New Roman" w:hAnsi="Arial" w:cs="Times New Roman"/>
      <w:sz w:val="24"/>
      <w:szCs w:val="20"/>
      <w:lang w:val="es-ES_tradnl" w:eastAsia="es-ES"/>
    </w:rPr>
  </w:style>
  <w:style w:type="paragraph" w:styleId="Textoindependiente3">
    <w:name w:val="Body Text 3"/>
    <w:basedOn w:val="Normal"/>
    <w:link w:val="Textoindependiente3Car"/>
    <w:rsid w:val="00D5445E"/>
    <w:pPr>
      <w:spacing w:after="120" w:line="240" w:lineRule="auto"/>
    </w:pPr>
    <w:rPr>
      <w:rFonts w:ascii="Times New Roman" w:eastAsia="Times New Roman" w:hAnsi="Times New Roman"/>
      <w:sz w:val="16"/>
      <w:szCs w:val="16"/>
      <w:lang w:eastAsia="es-ES"/>
    </w:rPr>
  </w:style>
  <w:style w:type="character" w:customStyle="1" w:styleId="Textoindependiente3Car">
    <w:name w:val="Texto independiente 3 Car"/>
    <w:link w:val="Textoindependiente3"/>
    <w:rsid w:val="00D5445E"/>
    <w:rPr>
      <w:rFonts w:ascii="Times New Roman" w:eastAsia="Times New Roman" w:hAnsi="Times New Roman"/>
      <w:sz w:val="16"/>
      <w:szCs w:val="16"/>
      <w:lang w:eastAsia="es-ES"/>
    </w:rPr>
  </w:style>
  <w:style w:type="paragraph" w:styleId="Prrafodelista">
    <w:name w:val="List Paragraph"/>
    <w:basedOn w:val="Normal"/>
    <w:uiPriority w:val="34"/>
    <w:qFormat/>
    <w:rsid w:val="00D5445E"/>
    <w:pPr>
      <w:spacing w:before="120" w:after="0" w:line="240" w:lineRule="auto"/>
      <w:ind w:left="720"/>
      <w:contextualSpacing/>
      <w:jc w:val="both"/>
    </w:pPr>
    <w:rPr>
      <w:rFonts w:ascii="Calibri" w:eastAsia="Calibri" w:hAnsi="Calibri"/>
    </w:rPr>
  </w:style>
  <w:style w:type="paragraph" w:styleId="Textoindependiente2">
    <w:name w:val="Body Text 2"/>
    <w:basedOn w:val="Normal"/>
    <w:link w:val="Textoindependiente2Car"/>
    <w:uiPriority w:val="99"/>
    <w:semiHidden/>
    <w:unhideWhenUsed/>
    <w:rsid w:val="006863A5"/>
    <w:pPr>
      <w:spacing w:after="120" w:line="480" w:lineRule="auto"/>
    </w:pPr>
  </w:style>
  <w:style w:type="character" w:customStyle="1" w:styleId="Textoindependiente2Car">
    <w:name w:val="Texto independiente 2 Car"/>
    <w:link w:val="Textoindependiente2"/>
    <w:uiPriority w:val="99"/>
    <w:semiHidden/>
    <w:rsid w:val="006863A5"/>
    <w:rPr>
      <w:sz w:val="22"/>
      <w:szCs w:val="22"/>
      <w:lang w:eastAsia="en-US"/>
    </w:rPr>
  </w:style>
  <w:style w:type="paragraph" w:customStyle="1" w:styleId="Default">
    <w:name w:val="Default"/>
    <w:rsid w:val="006863A5"/>
    <w:pPr>
      <w:autoSpaceDE w:val="0"/>
      <w:autoSpaceDN w:val="0"/>
      <w:adjustRightInd w:val="0"/>
    </w:pPr>
    <w:rPr>
      <w:rFonts w:eastAsia="Times New Roman" w:cs="Arial"/>
      <w:color w:val="000000"/>
      <w:sz w:val="24"/>
      <w:szCs w:val="24"/>
    </w:rPr>
  </w:style>
  <w:style w:type="character" w:customStyle="1" w:styleId="apple-converted-space">
    <w:name w:val="apple-converted-space"/>
    <w:rsid w:val="00614FCF"/>
  </w:style>
  <w:style w:type="paragraph" w:styleId="Textonotaalfinal">
    <w:name w:val="endnote text"/>
    <w:basedOn w:val="Normal"/>
    <w:link w:val="TextonotaalfinalCar"/>
    <w:uiPriority w:val="99"/>
    <w:semiHidden/>
    <w:unhideWhenUsed/>
    <w:rsid w:val="00362B0B"/>
    <w:rPr>
      <w:sz w:val="20"/>
      <w:szCs w:val="20"/>
    </w:rPr>
  </w:style>
  <w:style w:type="character" w:customStyle="1" w:styleId="TextonotaalfinalCar">
    <w:name w:val="Texto nota al final Car"/>
    <w:link w:val="Textonotaalfinal"/>
    <w:uiPriority w:val="99"/>
    <w:semiHidden/>
    <w:rsid w:val="00362B0B"/>
    <w:rPr>
      <w:lang w:eastAsia="en-US"/>
    </w:rPr>
  </w:style>
  <w:style w:type="character" w:styleId="Refdenotaalfinal">
    <w:name w:val="endnote reference"/>
    <w:uiPriority w:val="99"/>
    <w:semiHidden/>
    <w:unhideWhenUsed/>
    <w:rsid w:val="00362B0B"/>
    <w:rPr>
      <w:vertAlign w:val="superscript"/>
    </w:rPr>
  </w:style>
  <w:style w:type="paragraph" w:styleId="Textonotapie">
    <w:name w:val="footnote text"/>
    <w:aliases w:val="Footnote Text Char Char Char Char Char,Footnote Text Char Char Char Char,Ref. de nota al pie1,FA Fu,texto de nota al pie,Footnote Text Char Char Char Char Char Char Char Char,Ref. de nota al pie11,BVI fnr,Fago Fußnotenzeichen,ft"/>
    <w:basedOn w:val="Normal"/>
    <w:link w:val="TextonotapieCar"/>
    <w:uiPriority w:val="99"/>
    <w:unhideWhenUsed/>
    <w:qFormat/>
    <w:rsid w:val="00362B0B"/>
    <w:rPr>
      <w:sz w:val="20"/>
      <w:szCs w:val="20"/>
    </w:rPr>
  </w:style>
  <w:style w:type="character" w:customStyle="1" w:styleId="TextonotapieCar">
    <w:name w:val="Texto nota pie Car"/>
    <w:aliases w:val="Footnote Text Char Char Char Char Char Car,Footnote Text Char Char Char Char Car,Ref. de nota al pie1 Car,FA Fu Car,texto de nota al pie Car,Footnote Text Char Char Char Char Char Char Char Char Car,Ref. de nota al pie11 Car,ft Car"/>
    <w:link w:val="Textonotapie"/>
    <w:uiPriority w:val="99"/>
    <w:rsid w:val="00362B0B"/>
    <w:rPr>
      <w:lang w:eastAsia="en-US"/>
    </w:rPr>
  </w:style>
  <w:style w:type="character" w:styleId="Refdenotaalpie">
    <w:name w:val="footnote reference"/>
    <w:aliases w:val="Texto de nota al pie,Footnote Text Char Char Char Char Char Char1 Car,referencia nota al pie,Footnotes refss,Appel note de bas de page,Footnote referenc Car,Footnote number,f"/>
    <w:uiPriority w:val="99"/>
    <w:unhideWhenUsed/>
    <w:rsid w:val="00362B0B"/>
    <w:rPr>
      <w:vertAlign w:val="superscript"/>
    </w:rPr>
  </w:style>
  <w:style w:type="paragraph" w:styleId="Descripcin">
    <w:name w:val="caption"/>
    <w:basedOn w:val="Normal"/>
    <w:next w:val="Normal"/>
    <w:uiPriority w:val="35"/>
    <w:unhideWhenUsed/>
    <w:qFormat/>
    <w:rsid w:val="00660FE4"/>
    <w:rPr>
      <w:b/>
      <w:bCs/>
      <w:sz w:val="20"/>
      <w:szCs w:val="20"/>
    </w:rPr>
  </w:style>
  <w:style w:type="character" w:styleId="Refdecomentario">
    <w:name w:val="annotation reference"/>
    <w:uiPriority w:val="99"/>
    <w:semiHidden/>
    <w:unhideWhenUsed/>
    <w:rsid w:val="00C941E7"/>
    <w:rPr>
      <w:sz w:val="16"/>
      <w:szCs w:val="16"/>
    </w:rPr>
  </w:style>
  <w:style w:type="paragraph" w:styleId="Textocomentario">
    <w:name w:val="annotation text"/>
    <w:basedOn w:val="Normal"/>
    <w:link w:val="TextocomentarioCar"/>
    <w:uiPriority w:val="99"/>
    <w:semiHidden/>
    <w:unhideWhenUsed/>
    <w:rsid w:val="00C941E7"/>
    <w:rPr>
      <w:sz w:val="20"/>
      <w:szCs w:val="20"/>
    </w:rPr>
  </w:style>
  <w:style w:type="character" w:customStyle="1" w:styleId="TextocomentarioCar">
    <w:name w:val="Texto comentario Car"/>
    <w:link w:val="Textocomentario"/>
    <w:uiPriority w:val="99"/>
    <w:semiHidden/>
    <w:rsid w:val="00C941E7"/>
    <w:rPr>
      <w:lang w:eastAsia="en-US"/>
    </w:rPr>
  </w:style>
  <w:style w:type="paragraph" w:styleId="Asuntodelcomentario">
    <w:name w:val="annotation subject"/>
    <w:basedOn w:val="Textocomentario"/>
    <w:next w:val="Textocomentario"/>
    <w:link w:val="AsuntodelcomentarioCar"/>
    <w:uiPriority w:val="99"/>
    <w:semiHidden/>
    <w:unhideWhenUsed/>
    <w:rsid w:val="00C941E7"/>
    <w:rPr>
      <w:b/>
      <w:bCs/>
    </w:rPr>
  </w:style>
  <w:style w:type="character" w:customStyle="1" w:styleId="AsuntodelcomentarioCar">
    <w:name w:val="Asunto del comentario Car"/>
    <w:link w:val="Asuntodelcomentario"/>
    <w:uiPriority w:val="99"/>
    <w:semiHidden/>
    <w:rsid w:val="00C941E7"/>
    <w:rPr>
      <w:b/>
      <w:bCs/>
      <w:lang w:eastAsia="en-US"/>
    </w:rPr>
  </w:style>
  <w:style w:type="character" w:styleId="Hipervnculo">
    <w:name w:val="Hyperlink"/>
    <w:uiPriority w:val="99"/>
    <w:unhideWhenUsed/>
    <w:rsid w:val="003F117E"/>
    <w:rPr>
      <w:color w:val="0000FF"/>
      <w:u w:val="single"/>
    </w:rPr>
  </w:style>
  <w:style w:type="table" w:styleId="Tablaconcuadrcula">
    <w:name w:val="Table Grid"/>
    <w:basedOn w:val="Tablanormal"/>
    <w:uiPriority w:val="39"/>
    <w:rsid w:val="00D23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41AB4"/>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baj">
    <w:name w:val="b_aj"/>
    <w:rsid w:val="00841AB4"/>
  </w:style>
  <w:style w:type="character" w:styleId="Textoennegrita">
    <w:name w:val="Strong"/>
    <w:uiPriority w:val="22"/>
    <w:qFormat/>
    <w:rsid w:val="00924BE5"/>
    <w:rPr>
      <w:b/>
      <w:bCs/>
    </w:rPr>
  </w:style>
  <w:style w:type="paragraph" w:styleId="Revisin">
    <w:name w:val="Revision"/>
    <w:hidden/>
    <w:uiPriority w:val="99"/>
    <w:semiHidden/>
    <w:rsid w:val="00711285"/>
    <w:rPr>
      <w:sz w:val="22"/>
      <w:szCs w:val="22"/>
      <w:lang w:eastAsia="en-US"/>
    </w:rPr>
  </w:style>
  <w:style w:type="paragraph" w:customStyle="1" w:styleId="centrado">
    <w:name w:val="centrado"/>
    <w:basedOn w:val="Normal"/>
    <w:rsid w:val="003F0212"/>
    <w:pPr>
      <w:spacing w:before="100" w:beforeAutospacing="1" w:after="100" w:afterAutospacing="1" w:line="240" w:lineRule="auto"/>
    </w:pPr>
    <w:rPr>
      <w:rFonts w:ascii="Times New Roman" w:eastAsia="Times New Roman" w:hAnsi="Times New Roman"/>
      <w:sz w:val="24"/>
      <w:szCs w:val="24"/>
      <w:lang w:eastAsia="es-CO"/>
    </w:rPr>
  </w:style>
  <w:style w:type="paragraph" w:styleId="Sinespaciado">
    <w:name w:val="No Spacing"/>
    <w:uiPriority w:val="1"/>
    <w:qFormat/>
    <w:rsid w:val="00147C27"/>
    <w:rPr>
      <w:rFonts w:ascii="Calibri" w:eastAsia="Calibri" w:hAnsi="Calibri"/>
      <w:sz w:val="22"/>
      <w:szCs w:val="22"/>
      <w:lang w:eastAsia="en-US"/>
    </w:rPr>
  </w:style>
  <w:style w:type="paragraph" w:customStyle="1" w:styleId="xmsonospacing">
    <w:name w:val="x_msonospacing"/>
    <w:basedOn w:val="Normal"/>
    <w:rsid w:val="00147C27"/>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994924">
      <w:bodyDiv w:val="1"/>
      <w:marLeft w:val="0"/>
      <w:marRight w:val="0"/>
      <w:marTop w:val="0"/>
      <w:marBottom w:val="0"/>
      <w:divBdr>
        <w:top w:val="none" w:sz="0" w:space="0" w:color="auto"/>
        <w:left w:val="none" w:sz="0" w:space="0" w:color="auto"/>
        <w:bottom w:val="none" w:sz="0" w:space="0" w:color="auto"/>
        <w:right w:val="none" w:sz="0" w:space="0" w:color="auto"/>
      </w:divBdr>
    </w:div>
    <w:div w:id="434715851">
      <w:bodyDiv w:val="1"/>
      <w:marLeft w:val="0"/>
      <w:marRight w:val="0"/>
      <w:marTop w:val="0"/>
      <w:marBottom w:val="0"/>
      <w:divBdr>
        <w:top w:val="none" w:sz="0" w:space="0" w:color="auto"/>
        <w:left w:val="none" w:sz="0" w:space="0" w:color="auto"/>
        <w:bottom w:val="none" w:sz="0" w:space="0" w:color="auto"/>
        <w:right w:val="none" w:sz="0" w:space="0" w:color="auto"/>
      </w:divBdr>
    </w:div>
    <w:div w:id="580069358">
      <w:bodyDiv w:val="1"/>
      <w:marLeft w:val="0"/>
      <w:marRight w:val="0"/>
      <w:marTop w:val="0"/>
      <w:marBottom w:val="0"/>
      <w:divBdr>
        <w:top w:val="none" w:sz="0" w:space="0" w:color="auto"/>
        <w:left w:val="none" w:sz="0" w:space="0" w:color="auto"/>
        <w:bottom w:val="none" w:sz="0" w:space="0" w:color="auto"/>
        <w:right w:val="none" w:sz="0" w:space="0" w:color="auto"/>
      </w:divBdr>
    </w:div>
    <w:div w:id="673995018">
      <w:bodyDiv w:val="1"/>
      <w:marLeft w:val="0"/>
      <w:marRight w:val="0"/>
      <w:marTop w:val="0"/>
      <w:marBottom w:val="0"/>
      <w:divBdr>
        <w:top w:val="none" w:sz="0" w:space="0" w:color="auto"/>
        <w:left w:val="none" w:sz="0" w:space="0" w:color="auto"/>
        <w:bottom w:val="none" w:sz="0" w:space="0" w:color="auto"/>
        <w:right w:val="none" w:sz="0" w:space="0" w:color="auto"/>
      </w:divBdr>
    </w:div>
    <w:div w:id="695616088">
      <w:bodyDiv w:val="1"/>
      <w:marLeft w:val="0"/>
      <w:marRight w:val="0"/>
      <w:marTop w:val="0"/>
      <w:marBottom w:val="0"/>
      <w:divBdr>
        <w:top w:val="none" w:sz="0" w:space="0" w:color="auto"/>
        <w:left w:val="none" w:sz="0" w:space="0" w:color="auto"/>
        <w:bottom w:val="none" w:sz="0" w:space="0" w:color="auto"/>
        <w:right w:val="none" w:sz="0" w:space="0" w:color="auto"/>
      </w:divBdr>
    </w:div>
    <w:div w:id="789056310">
      <w:bodyDiv w:val="1"/>
      <w:marLeft w:val="0"/>
      <w:marRight w:val="0"/>
      <w:marTop w:val="0"/>
      <w:marBottom w:val="0"/>
      <w:divBdr>
        <w:top w:val="none" w:sz="0" w:space="0" w:color="auto"/>
        <w:left w:val="none" w:sz="0" w:space="0" w:color="auto"/>
        <w:bottom w:val="none" w:sz="0" w:space="0" w:color="auto"/>
        <w:right w:val="none" w:sz="0" w:space="0" w:color="auto"/>
      </w:divBdr>
    </w:div>
    <w:div w:id="968053564">
      <w:bodyDiv w:val="1"/>
      <w:marLeft w:val="0"/>
      <w:marRight w:val="0"/>
      <w:marTop w:val="0"/>
      <w:marBottom w:val="0"/>
      <w:divBdr>
        <w:top w:val="none" w:sz="0" w:space="0" w:color="auto"/>
        <w:left w:val="none" w:sz="0" w:space="0" w:color="auto"/>
        <w:bottom w:val="none" w:sz="0" w:space="0" w:color="auto"/>
        <w:right w:val="none" w:sz="0" w:space="0" w:color="auto"/>
      </w:divBdr>
    </w:div>
    <w:div w:id="997852201">
      <w:bodyDiv w:val="1"/>
      <w:marLeft w:val="0"/>
      <w:marRight w:val="0"/>
      <w:marTop w:val="0"/>
      <w:marBottom w:val="0"/>
      <w:divBdr>
        <w:top w:val="none" w:sz="0" w:space="0" w:color="auto"/>
        <w:left w:val="none" w:sz="0" w:space="0" w:color="auto"/>
        <w:bottom w:val="none" w:sz="0" w:space="0" w:color="auto"/>
        <w:right w:val="none" w:sz="0" w:space="0" w:color="auto"/>
      </w:divBdr>
    </w:div>
    <w:div w:id="1031802676">
      <w:bodyDiv w:val="1"/>
      <w:marLeft w:val="0"/>
      <w:marRight w:val="0"/>
      <w:marTop w:val="0"/>
      <w:marBottom w:val="0"/>
      <w:divBdr>
        <w:top w:val="none" w:sz="0" w:space="0" w:color="auto"/>
        <w:left w:val="none" w:sz="0" w:space="0" w:color="auto"/>
        <w:bottom w:val="none" w:sz="0" w:space="0" w:color="auto"/>
        <w:right w:val="none" w:sz="0" w:space="0" w:color="auto"/>
      </w:divBdr>
    </w:div>
    <w:div w:id="1391536636">
      <w:bodyDiv w:val="1"/>
      <w:marLeft w:val="0"/>
      <w:marRight w:val="0"/>
      <w:marTop w:val="0"/>
      <w:marBottom w:val="0"/>
      <w:divBdr>
        <w:top w:val="none" w:sz="0" w:space="0" w:color="auto"/>
        <w:left w:val="none" w:sz="0" w:space="0" w:color="auto"/>
        <w:bottom w:val="none" w:sz="0" w:space="0" w:color="auto"/>
        <w:right w:val="none" w:sz="0" w:space="0" w:color="auto"/>
      </w:divBdr>
    </w:div>
    <w:div w:id="1505626700">
      <w:bodyDiv w:val="1"/>
      <w:marLeft w:val="0"/>
      <w:marRight w:val="0"/>
      <w:marTop w:val="0"/>
      <w:marBottom w:val="0"/>
      <w:divBdr>
        <w:top w:val="none" w:sz="0" w:space="0" w:color="auto"/>
        <w:left w:val="none" w:sz="0" w:space="0" w:color="auto"/>
        <w:bottom w:val="none" w:sz="0" w:space="0" w:color="auto"/>
        <w:right w:val="none" w:sz="0" w:space="0" w:color="auto"/>
      </w:divBdr>
    </w:div>
    <w:div w:id="1513563729">
      <w:bodyDiv w:val="1"/>
      <w:marLeft w:val="0"/>
      <w:marRight w:val="0"/>
      <w:marTop w:val="0"/>
      <w:marBottom w:val="0"/>
      <w:divBdr>
        <w:top w:val="none" w:sz="0" w:space="0" w:color="auto"/>
        <w:left w:val="none" w:sz="0" w:space="0" w:color="auto"/>
        <w:bottom w:val="none" w:sz="0" w:space="0" w:color="auto"/>
        <w:right w:val="none" w:sz="0" w:space="0" w:color="auto"/>
      </w:divBdr>
    </w:div>
    <w:div w:id="1629579480">
      <w:bodyDiv w:val="1"/>
      <w:marLeft w:val="0"/>
      <w:marRight w:val="0"/>
      <w:marTop w:val="0"/>
      <w:marBottom w:val="0"/>
      <w:divBdr>
        <w:top w:val="none" w:sz="0" w:space="0" w:color="auto"/>
        <w:left w:val="none" w:sz="0" w:space="0" w:color="auto"/>
        <w:bottom w:val="none" w:sz="0" w:space="0" w:color="auto"/>
        <w:right w:val="none" w:sz="0" w:space="0" w:color="auto"/>
      </w:divBdr>
    </w:div>
    <w:div w:id="1842701637">
      <w:bodyDiv w:val="1"/>
      <w:marLeft w:val="0"/>
      <w:marRight w:val="0"/>
      <w:marTop w:val="0"/>
      <w:marBottom w:val="0"/>
      <w:divBdr>
        <w:top w:val="none" w:sz="0" w:space="0" w:color="auto"/>
        <w:left w:val="none" w:sz="0" w:space="0" w:color="auto"/>
        <w:bottom w:val="none" w:sz="0" w:space="0" w:color="auto"/>
        <w:right w:val="none" w:sz="0" w:space="0" w:color="auto"/>
      </w:divBdr>
    </w:div>
    <w:div w:id="1869635201">
      <w:bodyDiv w:val="1"/>
      <w:marLeft w:val="0"/>
      <w:marRight w:val="0"/>
      <w:marTop w:val="0"/>
      <w:marBottom w:val="0"/>
      <w:divBdr>
        <w:top w:val="none" w:sz="0" w:space="0" w:color="auto"/>
        <w:left w:val="none" w:sz="0" w:space="0" w:color="auto"/>
        <w:bottom w:val="none" w:sz="0" w:space="0" w:color="auto"/>
        <w:right w:val="none" w:sz="0" w:space="0" w:color="auto"/>
      </w:divBdr>
      <w:divsChild>
        <w:div w:id="141043863">
          <w:marLeft w:val="0"/>
          <w:marRight w:val="0"/>
          <w:marTop w:val="0"/>
          <w:marBottom w:val="0"/>
          <w:divBdr>
            <w:top w:val="none" w:sz="0" w:space="0" w:color="auto"/>
            <w:left w:val="none" w:sz="0" w:space="0" w:color="auto"/>
            <w:bottom w:val="none" w:sz="0" w:space="0" w:color="auto"/>
            <w:right w:val="none" w:sz="0" w:space="0" w:color="auto"/>
          </w:divBdr>
        </w:div>
        <w:div w:id="556016472">
          <w:marLeft w:val="0"/>
          <w:marRight w:val="0"/>
          <w:marTop w:val="0"/>
          <w:marBottom w:val="0"/>
          <w:divBdr>
            <w:top w:val="none" w:sz="0" w:space="0" w:color="auto"/>
            <w:left w:val="none" w:sz="0" w:space="0" w:color="auto"/>
            <w:bottom w:val="none" w:sz="0" w:space="0" w:color="auto"/>
            <w:right w:val="none" w:sz="0" w:space="0" w:color="auto"/>
          </w:divBdr>
        </w:div>
        <w:div w:id="588663247">
          <w:marLeft w:val="0"/>
          <w:marRight w:val="0"/>
          <w:marTop w:val="0"/>
          <w:marBottom w:val="0"/>
          <w:divBdr>
            <w:top w:val="none" w:sz="0" w:space="0" w:color="auto"/>
            <w:left w:val="none" w:sz="0" w:space="0" w:color="auto"/>
            <w:bottom w:val="none" w:sz="0" w:space="0" w:color="auto"/>
            <w:right w:val="none" w:sz="0" w:space="0" w:color="auto"/>
          </w:divBdr>
        </w:div>
        <w:div w:id="649016084">
          <w:marLeft w:val="0"/>
          <w:marRight w:val="0"/>
          <w:marTop w:val="0"/>
          <w:marBottom w:val="0"/>
          <w:divBdr>
            <w:top w:val="none" w:sz="0" w:space="0" w:color="auto"/>
            <w:left w:val="none" w:sz="0" w:space="0" w:color="auto"/>
            <w:bottom w:val="none" w:sz="0" w:space="0" w:color="auto"/>
            <w:right w:val="none" w:sz="0" w:space="0" w:color="auto"/>
          </w:divBdr>
        </w:div>
        <w:div w:id="839278607">
          <w:marLeft w:val="0"/>
          <w:marRight w:val="0"/>
          <w:marTop w:val="0"/>
          <w:marBottom w:val="0"/>
          <w:divBdr>
            <w:top w:val="none" w:sz="0" w:space="0" w:color="auto"/>
            <w:left w:val="none" w:sz="0" w:space="0" w:color="auto"/>
            <w:bottom w:val="none" w:sz="0" w:space="0" w:color="auto"/>
            <w:right w:val="none" w:sz="0" w:space="0" w:color="auto"/>
          </w:divBdr>
        </w:div>
        <w:div w:id="1362785964">
          <w:marLeft w:val="0"/>
          <w:marRight w:val="0"/>
          <w:marTop w:val="0"/>
          <w:marBottom w:val="0"/>
          <w:divBdr>
            <w:top w:val="none" w:sz="0" w:space="0" w:color="auto"/>
            <w:left w:val="none" w:sz="0" w:space="0" w:color="auto"/>
            <w:bottom w:val="none" w:sz="0" w:space="0" w:color="auto"/>
            <w:right w:val="none" w:sz="0" w:space="0" w:color="auto"/>
          </w:divBdr>
        </w:div>
        <w:div w:id="1389498774">
          <w:marLeft w:val="0"/>
          <w:marRight w:val="0"/>
          <w:marTop w:val="0"/>
          <w:marBottom w:val="0"/>
          <w:divBdr>
            <w:top w:val="none" w:sz="0" w:space="0" w:color="auto"/>
            <w:left w:val="none" w:sz="0" w:space="0" w:color="auto"/>
            <w:bottom w:val="none" w:sz="0" w:space="0" w:color="auto"/>
            <w:right w:val="none" w:sz="0" w:space="0" w:color="auto"/>
          </w:divBdr>
        </w:div>
      </w:divsChild>
    </w:div>
    <w:div w:id="1878346929">
      <w:bodyDiv w:val="1"/>
      <w:marLeft w:val="0"/>
      <w:marRight w:val="0"/>
      <w:marTop w:val="0"/>
      <w:marBottom w:val="0"/>
      <w:divBdr>
        <w:top w:val="none" w:sz="0" w:space="0" w:color="auto"/>
        <w:left w:val="none" w:sz="0" w:space="0" w:color="auto"/>
        <w:bottom w:val="none" w:sz="0" w:space="0" w:color="auto"/>
        <w:right w:val="none" w:sz="0" w:space="0" w:color="auto"/>
      </w:divBdr>
    </w:div>
    <w:div w:id="1920092338">
      <w:bodyDiv w:val="1"/>
      <w:marLeft w:val="0"/>
      <w:marRight w:val="0"/>
      <w:marTop w:val="0"/>
      <w:marBottom w:val="0"/>
      <w:divBdr>
        <w:top w:val="none" w:sz="0" w:space="0" w:color="auto"/>
        <w:left w:val="none" w:sz="0" w:space="0" w:color="auto"/>
        <w:bottom w:val="none" w:sz="0" w:space="0" w:color="auto"/>
        <w:right w:val="none" w:sz="0" w:space="0" w:color="auto"/>
      </w:divBdr>
    </w:div>
    <w:div w:id="210738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norena\Desktop\EN%20PROCESO\HOJA%20MEMBRETEADA\HojaMembreteadaB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4C3E8-9997-4449-9EEA-BCE6CB6B3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HojaMembreteadaBN</Template>
  <TotalTime>3</TotalTime>
  <Pages>6</Pages>
  <Words>1971</Words>
  <Characters>10841</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Norena Botero</dc:creator>
  <cp:keywords/>
  <cp:lastModifiedBy>CLAUDIA MARCELA ESCOBAR OLIVER</cp:lastModifiedBy>
  <cp:revision>3</cp:revision>
  <cp:lastPrinted>2016-07-05T22:51:00Z</cp:lastPrinted>
  <dcterms:created xsi:type="dcterms:W3CDTF">2018-01-29T21:18:00Z</dcterms:created>
  <dcterms:modified xsi:type="dcterms:W3CDTF">2018-01-29T21:21:00Z</dcterms:modified>
</cp:coreProperties>
</file>