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BBD85" w14:textId="77777777" w:rsidR="00FB1FA2" w:rsidRPr="00431291" w:rsidRDefault="00FB1FA2" w:rsidP="00FB1FA2">
      <w:pPr>
        <w:pStyle w:val="Textoindependiente"/>
        <w:jc w:val="center"/>
        <w:rPr>
          <w:rFonts w:cs="Arial"/>
          <w:b/>
          <w:sz w:val="22"/>
          <w:szCs w:val="22"/>
          <w:lang w:val="es-CO"/>
        </w:rPr>
      </w:pPr>
      <w:r w:rsidRPr="00431291">
        <w:rPr>
          <w:rFonts w:cs="Arial"/>
          <w:b/>
          <w:sz w:val="22"/>
          <w:szCs w:val="22"/>
          <w:lang w:val="es-CO"/>
        </w:rPr>
        <w:t>MEMORIA JUSTIFICATIVA</w:t>
      </w:r>
    </w:p>
    <w:p w14:paraId="536249AB" w14:textId="77777777" w:rsidR="00FB1FA2" w:rsidRPr="00431291" w:rsidRDefault="00FB1FA2" w:rsidP="00FB1FA2">
      <w:pPr>
        <w:pStyle w:val="Textoindependiente"/>
        <w:jc w:val="center"/>
        <w:rPr>
          <w:rFonts w:cs="Arial"/>
          <w:b/>
          <w:sz w:val="22"/>
          <w:szCs w:val="22"/>
          <w:lang w:val="es-CO"/>
        </w:rPr>
      </w:pPr>
    </w:p>
    <w:p w14:paraId="7CB1015B" w14:textId="77777777" w:rsidR="00FB1FA2" w:rsidRPr="00431291" w:rsidRDefault="00FB1FA2" w:rsidP="00FB1FA2">
      <w:pPr>
        <w:pStyle w:val="Textoindependiente"/>
        <w:jc w:val="center"/>
        <w:rPr>
          <w:rFonts w:cs="Arial"/>
          <w:b/>
          <w:sz w:val="22"/>
          <w:szCs w:val="22"/>
          <w:lang w:val="es-CO"/>
        </w:rPr>
      </w:pPr>
    </w:p>
    <w:p w14:paraId="2D8DF0E7" w14:textId="7AF6E864" w:rsidR="00FB1FA2" w:rsidRPr="00431291" w:rsidRDefault="00FB1FA2" w:rsidP="00FB1FA2">
      <w:pPr>
        <w:pStyle w:val="Textoindependiente"/>
        <w:jc w:val="center"/>
        <w:rPr>
          <w:rFonts w:cs="Arial"/>
          <w:b/>
          <w:sz w:val="22"/>
          <w:szCs w:val="22"/>
          <w:lang w:val="es-CO"/>
        </w:rPr>
      </w:pPr>
      <w:r w:rsidRPr="00431291">
        <w:rPr>
          <w:rFonts w:cs="Arial"/>
          <w:b/>
          <w:sz w:val="22"/>
          <w:szCs w:val="22"/>
          <w:lang w:val="es-CO"/>
        </w:rPr>
        <w:t xml:space="preserve">PROYECTO DE </w:t>
      </w:r>
      <w:r w:rsidR="001D0588" w:rsidRPr="00431291">
        <w:rPr>
          <w:rFonts w:cs="Arial"/>
          <w:b/>
          <w:sz w:val="22"/>
          <w:szCs w:val="22"/>
          <w:lang w:val="es-CO"/>
        </w:rPr>
        <w:t>DECRETO</w:t>
      </w:r>
    </w:p>
    <w:p w14:paraId="395F96AD" w14:textId="77777777" w:rsidR="00FB1FA2" w:rsidRPr="00431291" w:rsidRDefault="00FB1FA2" w:rsidP="00FB1FA2">
      <w:pPr>
        <w:pStyle w:val="Textoindependiente"/>
        <w:jc w:val="center"/>
        <w:rPr>
          <w:rFonts w:cs="Arial"/>
          <w:b/>
          <w:i/>
          <w:sz w:val="22"/>
          <w:szCs w:val="22"/>
          <w:lang w:val="es-CO"/>
        </w:rPr>
      </w:pPr>
    </w:p>
    <w:p w14:paraId="378EA603" w14:textId="05A14545" w:rsidR="001D0588" w:rsidRPr="00431291" w:rsidRDefault="00B178CA" w:rsidP="001D0588">
      <w:pPr>
        <w:pStyle w:val="CM9"/>
        <w:spacing w:after="522"/>
        <w:ind w:left="72"/>
        <w:jc w:val="center"/>
        <w:rPr>
          <w:color w:val="000000"/>
          <w:sz w:val="22"/>
          <w:szCs w:val="22"/>
        </w:rPr>
      </w:pPr>
      <w:r>
        <w:rPr>
          <w:iCs/>
          <w:color w:val="000000"/>
          <w:sz w:val="22"/>
          <w:szCs w:val="22"/>
        </w:rPr>
        <w:t>“</w:t>
      </w:r>
      <w:r w:rsidR="001D0588" w:rsidRPr="00431291">
        <w:rPr>
          <w:iCs/>
          <w:color w:val="000000"/>
          <w:sz w:val="22"/>
          <w:szCs w:val="22"/>
        </w:rPr>
        <w:t xml:space="preserve">Por el cual </w:t>
      </w:r>
      <w:r w:rsidR="001D0588" w:rsidRPr="00431291">
        <w:rPr>
          <w:color w:val="000000"/>
          <w:sz w:val="22"/>
          <w:szCs w:val="22"/>
        </w:rPr>
        <w:t xml:space="preserve">se </w:t>
      </w:r>
      <w:r w:rsidR="001D0588" w:rsidRPr="00431291">
        <w:rPr>
          <w:iCs/>
          <w:color w:val="000000"/>
          <w:sz w:val="22"/>
          <w:szCs w:val="22"/>
        </w:rPr>
        <w:t xml:space="preserve">autoriza </w:t>
      </w:r>
      <w:r w:rsidR="001D0588" w:rsidRPr="00431291">
        <w:rPr>
          <w:color w:val="000000"/>
          <w:sz w:val="22"/>
          <w:szCs w:val="22"/>
        </w:rPr>
        <w:t xml:space="preserve">a </w:t>
      </w:r>
      <w:r w:rsidR="001D0588" w:rsidRPr="00431291">
        <w:rPr>
          <w:iCs/>
          <w:color w:val="000000"/>
          <w:sz w:val="22"/>
          <w:szCs w:val="22"/>
        </w:rPr>
        <w:t>Ecopetrol S.A. para participar en la const</w:t>
      </w:r>
      <w:bookmarkStart w:id="0" w:name="_GoBack"/>
      <w:bookmarkEnd w:id="0"/>
      <w:r w:rsidR="001D0588" w:rsidRPr="00431291">
        <w:rPr>
          <w:iCs/>
          <w:color w:val="000000"/>
          <w:sz w:val="22"/>
          <w:szCs w:val="22"/>
        </w:rPr>
        <w:t>itución de una filial</w:t>
      </w:r>
      <w:r>
        <w:rPr>
          <w:iCs/>
          <w:color w:val="000000"/>
          <w:sz w:val="22"/>
          <w:szCs w:val="22"/>
        </w:rPr>
        <w:t>”</w:t>
      </w:r>
    </w:p>
    <w:p w14:paraId="567C493E" w14:textId="77777777" w:rsidR="00FB1FA2" w:rsidRPr="00431291" w:rsidRDefault="00FB1FA2" w:rsidP="00FB1FA2">
      <w:pPr>
        <w:pStyle w:val="Textoindependiente"/>
        <w:numPr>
          <w:ilvl w:val="0"/>
          <w:numId w:val="5"/>
        </w:numPr>
        <w:jc w:val="left"/>
        <w:rPr>
          <w:rFonts w:cs="Arial"/>
          <w:b/>
          <w:sz w:val="22"/>
          <w:szCs w:val="22"/>
          <w:lang w:val="es-CO"/>
        </w:rPr>
      </w:pPr>
      <w:r w:rsidRPr="00431291">
        <w:rPr>
          <w:rFonts w:cs="Arial"/>
          <w:b/>
          <w:sz w:val="22"/>
          <w:szCs w:val="22"/>
          <w:lang w:val="es-CO"/>
        </w:rPr>
        <w:t>ANTECEDENTES, OPORTUNIDAD Y CONVENIENCIA</w:t>
      </w:r>
    </w:p>
    <w:p w14:paraId="7912BF3D" w14:textId="77777777" w:rsidR="00FB1FA2" w:rsidRPr="00431291" w:rsidRDefault="00FB1FA2" w:rsidP="00FB1FA2">
      <w:pPr>
        <w:pStyle w:val="Textoindependiente"/>
        <w:jc w:val="left"/>
        <w:rPr>
          <w:rFonts w:cs="Arial"/>
          <w:b/>
          <w:sz w:val="22"/>
          <w:szCs w:val="22"/>
          <w:lang w:val="es-CO"/>
        </w:rPr>
      </w:pPr>
    </w:p>
    <w:p w14:paraId="60936D1D" w14:textId="413215D7" w:rsidR="00242FF3" w:rsidRPr="00431291" w:rsidRDefault="00242FF3" w:rsidP="00242FF3">
      <w:pPr>
        <w:pStyle w:val="CM5"/>
        <w:spacing w:after="252" w:line="263" w:lineRule="atLeast"/>
        <w:jc w:val="both"/>
        <w:rPr>
          <w:color w:val="000000"/>
          <w:sz w:val="22"/>
          <w:szCs w:val="22"/>
        </w:rPr>
      </w:pPr>
      <w:r w:rsidRPr="00431291">
        <w:rPr>
          <w:color w:val="000000"/>
          <w:sz w:val="22"/>
          <w:szCs w:val="22"/>
        </w:rPr>
        <w:t xml:space="preserve">El parágrafo del artículo 49 de la Ley 489 de 1998 dispone que las entidades descentralizadas indirectas y las filiales de las empresas industriales y comerciales del Estado y de las sociedades de economía mixta, se constituirán conforme con lo dispuesto en dicha ley y, en todo caso, previa autorización del Gobierno Nacional si se trata de entidades de este orden. </w:t>
      </w:r>
    </w:p>
    <w:p w14:paraId="41164A35" w14:textId="66ECD4E3" w:rsidR="00242FF3" w:rsidRPr="00431291" w:rsidRDefault="00242FF3" w:rsidP="00242FF3">
      <w:pPr>
        <w:pStyle w:val="Textoindependiente"/>
        <w:rPr>
          <w:rFonts w:cs="Arial"/>
          <w:color w:val="000000"/>
          <w:sz w:val="22"/>
          <w:szCs w:val="22"/>
        </w:rPr>
      </w:pPr>
      <w:r w:rsidRPr="00431291">
        <w:rPr>
          <w:rFonts w:cs="Arial"/>
          <w:sz w:val="22"/>
          <w:szCs w:val="22"/>
          <w:lang w:val="es-CO"/>
        </w:rPr>
        <w:t>Por su parte, e</w:t>
      </w:r>
      <w:r w:rsidRPr="00431291">
        <w:rPr>
          <w:rFonts w:cs="Arial"/>
          <w:color w:val="000000"/>
          <w:sz w:val="22"/>
          <w:szCs w:val="22"/>
        </w:rPr>
        <w:t xml:space="preserve">l artículo 1 de la Ley 1118 de 2006 dispone que Ecopetrol S.A. podrá establecer subsidiarias, sucursales y agencias en el territorio nacional y en el exterior. </w:t>
      </w:r>
    </w:p>
    <w:p w14:paraId="7A2E21D5" w14:textId="77777777" w:rsidR="00242FF3" w:rsidRPr="00431291" w:rsidRDefault="00242FF3" w:rsidP="00242FF3">
      <w:pPr>
        <w:pStyle w:val="Textoindependiente"/>
        <w:rPr>
          <w:rFonts w:cs="Arial"/>
          <w:color w:val="000000"/>
          <w:sz w:val="22"/>
          <w:szCs w:val="22"/>
        </w:rPr>
      </w:pPr>
    </w:p>
    <w:p w14:paraId="1A0ED585" w14:textId="16EB0E35" w:rsidR="00242FF3" w:rsidRPr="00431291" w:rsidRDefault="00242FF3" w:rsidP="00242FF3">
      <w:pPr>
        <w:pStyle w:val="Textoindependiente"/>
        <w:rPr>
          <w:rFonts w:cs="Arial"/>
          <w:sz w:val="22"/>
          <w:szCs w:val="22"/>
        </w:rPr>
      </w:pPr>
      <w:r w:rsidRPr="00431291">
        <w:rPr>
          <w:rFonts w:cs="Arial"/>
          <w:color w:val="000000"/>
          <w:sz w:val="22"/>
          <w:szCs w:val="22"/>
        </w:rPr>
        <w:t>Con base en lo anterior, E</w:t>
      </w:r>
      <w:r w:rsidRPr="00431291">
        <w:rPr>
          <w:rFonts w:cs="Arial"/>
          <w:sz w:val="22"/>
          <w:szCs w:val="22"/>
        </w:rPr>
        <w:t>copetrol S.A. tomó la decisión de incursionar en el negocio de la comercialización de energía a través de la constitución de una filial con el fin, entre otros, de reducir el costo de energía del Grupo Ecopetrol, conforme consta en los estudios técnicos elaborados por la Gerencia de Energía en octubre de 2017, de los cuales se destaca lo siguiente</w:t>
      </w:r>
      <w:r w:rsidR="00431291" w:rsidRPr="00431291">
        <w:rPr>
          <w:rFonts w:cs="Arial"/>
          <w:sz w:val="22"/>
          <w:szCs w:val="22"/>
        </w:rPr>
        <w:t xml:space="preserve"> en relación con los beneficios que obtendrá la Empresa y su Grupo al constituir la filial</w:t>
      </w:r>
      <w:r w:rsidRPr="00431291">
        <w:rPr>
          <w:rFonts w:cs="Arial"/>
          <w:sz w:val="22"/>
          <w:szCs w:val="22"/>
        </w:rPr>
        <w:t>:</w:t>
      </w:r>
    </w:p>
    <w:p w14:paraId="6F65418A" w14:textId="77777777" w:rsidR="00431291" w:rsidRPr="00431291" w:rsidRDefault="00431291" w:rsidP="00242FF3">
      <w:pPr>
        <w:pStyle w:val="Textoindependiente"/>
        <w:rPr>
          <w:rFonts w:cs="Arial"/>
          <w:sz w:val="22"/>
          <w:szCs w:val="22"/>
        </w:rPr>
      </w:pPr>
    </w:p>
    <w:p w14:paraId="0AA6154D" w14:textId="462F234C" w:rsidR="00431291" w:rsidRPr="00431291" w:rsidRDefault="00431291" w:rsidP="00431291">
      <w:pPr>
        <w:pStyle w:val="Textoindependiente"/>
        <w:numPr>
          <w:ilvl w:val="0"/>
          <w:numId w:val="6"/>
        </w:numPr>
        <w:rPr>
          <w:rFonts w:cs="Arial"/>
          <w:sz w:val="22"/>
          <w:szCs w:val="22"/>
        </w:rPr>
      </w:pPr>
      <w:r w:rsidRPr="00431291">
        <w:rPr>
          <w:rFonts w:cs="Arial"/>
          <w:sz w:val="22"/>
          <w:szCs w:val="22"/>
        </w:rPr>
        <w:t>Optimizar los recursos propios con una inversión de COP $3 millardos para reducir el costo de energía generando VPN durante el período 2018-2028 de COP $186 millardos.</w:t>
      </w:r>
    </w:p>
    <w:p w14:paraId="4975C5B9" w14:textId="77777777" w:rsidR="00431291" w:rsidRPr="00431291" w:rsidRDefault="00431291" w:rsidP="00242FF3">
      <w:pPr>
        <w:pStyle w:val="Textoindependiente"/>
        <w:rPr>
          <w:rFonts w:cs="Arial"/>
          <w:sz w:val="22"/>
          <w:szCs w:val="22"/>
        </w:rPr>
      </w:pPr>
    </w:p>
    <w:p w14:paraId="1969F354" w14:textId="4F23CBDF" w:rsidR="00431291" w:rsidRPr="00431291" w:rsidRDefault="00431291" w:rsidP="00431291">
      <w:pPr>
        <w:pStyle w:val="Textoindependiente"/>
        <w:numPr>
          <w:ilvl w:val="0"/>
          <w:numId w:val="6"/>
        </w:numPr>
        <w:rPr>
          <w:rFonts w:cs="Arial"/>
          <w:sz w:val="22"/>
          <w:szCs w:val="22"/>
        </w:rPr>
      </w:pPr>
      <w:r w:rsidRPr="00431291">
        <w:rPr>
          <w:rFonts w:cs="Arial"/>
          <w:sz w:val="22"/>
          <w:szCs w:val="22"/>
        </w:rPr>
        <w:t>Capturar un VPN por el citado período en COP $158 millardos por la comercialización de energía requerida para las operaciones del grupo empresarial.</w:t>
      </w:r>
    </w:p>
    <w:p w14:paraId="2DA2870D" w14:textId="77777777" w:rsidR="00431291" w:rsidRPr="00431291" w:rsidRDefault="00431291" w:rsidP="00431291">
      <w:pPr>
        <w:pStyle w:val="Textoindependiente"/>
        <w:rPr>
          <w:rFonts w:cs="Arial"/>
          <w:sz w:val="22"/>
          <w:szCs w:val="22"/>
        </w:rPr>
      </w:pPr>
    </w:p>
    <w:p w14:paraId="79EACD86" w14:textId="03A1026B" w:rsidR="00431291" w:rsidRPr="00431291" w:rsidRDefault="00431291" w:rsidP="00431291">
      <w:pPr>
        <w:spacing w:after="0"/>
        <w:ind w:right="99"/>
        <w:jc w:val="both"/>
        <w:rPr>
          <w:rFonts w:ascii="Arial" w:hAnsi="Arial" w:cs="Arial"/>
          <w:i/>
          <w:sz w:val="20"/>
          <w:szCs w:val="20"/>
        </w:rPr>
      </w:pPr>
      <w:r w:rsidRPr="00431291">
        <w:rPr>
          <w:rFonts w:ascii="Arial" w:hAnsi="Arial" w:cs="Arial"/>
        </w:rPr>
        <w:t>Dentro del contexto del soporte técnico la Gerencia de Energía de Ecopetrol S.A. señal</w:t>
      </w:r>
      <w:r>
        <w:rPr>
          <w:rFonts w:ascii="Arial" w:hAnsi="Arial" w:cs="Arial"/>
        </w:rPr>
        <w:t>ó</w:t>
      </w:r>
      <w:r w:rsidRPr="00431291">
        <w:rPr>
          <w:rFonts w:ascii="Arial" w:hAnsi="Arial" w:cs="Arial"/>
        </w:rPr>
        <w:t xml:space="preserve"> que</w:t>
      </w:r>
      <w:proofErr w:type="gramStart"/>
      <w:r w:rsidRPr="00431291">
        <w:rPr>
          <w:rFonts w:ascii="Arial" w:hAnsi="Arial" w:cs="Arial"/>
        </w:rPr>
        <w:t xml:space="preserve">:  </w:t>
      </w:r>
      <w:r w:rsidRPr="00431291">
        <w:rPr>
          <w:rFonts w:ascii="Arial" w:hAnsi="Arial" w:cs="Arial"/>
          <w:i/>
          <w:sz w:val="20"/>
          <w:szCs w:val="20"/>
        </w:rPr>
        <w:t>“</w:t>
      </w:r>
      <w:proofErr w:type="gramEnd"/>
      <w:r w:rsidRPr="00431291">
        <w:rPr>
          <w:rFonts w:ascii="Arial" w:hAnsi="Arial" w:cs="Arial"/>
          <w:i/>
          <w:sz w:val="20"/>
          <w:szCs w:val="20"/>
        </w:rPr>
        <w:t xml:space="preserve">La demanda anual del Grupo Empresarial es de 7.323 </w:t>
      </w:r>
      <w:proofErr w:type="spellStart"/>
      <w:r w:rsidRPr="00431291">
        <w:rPr>
          <w:rFonts w:ascii="Arial" w:hAnsi="Arial" w:cs="Arial"/>
          <w:i/>
          <w:sz w:val="20"/>
          <w:szCs w:val="20"/>
        </w:rPr>
        <w:t>GWh</w:t>
      </w:r>
      <w:proofErr w:type="spellEnd"/>
      <w:r w:rsidRPr="00431291">
        <w:rPr>
          <w:rFonts w:ascii="Arial" w:hAnsi="Arial" w:cs="Arial"/>
          <w:i/>
          <w:sz w:val="20"/>
          <w:szCs w:val="20"/>
        </w:rPr>
        <w:t xml:space="preserve">-año con un costo total de COP $1.800 millardos. La demanda es atendida con energía producida a través de plantas de cogeneración y </w:t>
      </w:r>
      <w:proofErr w:type="gramStart"/>
      <w:r w:rsidRPr="00431291">
        <w:rPr>
          <w:rFonts w:ascii="Arial" w:hAnsi="Arial" w:cs="Arial"/>
          <w:i/>
          <w:sz w:val="20"/>
          <w:szCs w:val="20"/>
        </w:rPr>
        <w:t>autogeneración</w:t>
      </w:r>
      <w:proofErr w:type="gramEnd"/>
      <w:r w:rsidRPr="00431291">
        <w:rPr>
          <w:rFonts w:ascii="Arial" w:hAnsi="Arial" w:cs="Arial"/>
          <w:i/>
          <w:sz w:val="20"/>
          <w:szCs w:val="20"/>
        </w:rPr>
        <w:t xml:space="preserve"> que son propias o contratadas y  representan el 69% del consumo total. El 31% restante se abastece con compras realizadas al Mercado Eléctrico Nacional-MEM a través de  comercializadores. </w:t>
      </w:r>
    </w:p>
    <w:p w14:paraId="3FDB7BD4" w14:textId="77777777" w:rsidR="00431291" w:rsidRPr="00431291" w:rsidRDefault="00431291" w:rsidP="00431291">
      <w:pPr>
        <w:spacing w:after="0"/>
        <w:ind w:right="99"/>
        <w:jc w:val="both"/>
        <w:rPr>
          <w:rFonts w:ascii="Arial" w:hAnsi="Arial" w:cs="Arial"/>
          <w:i/>
          <w:sz w:val="20"/>
          <w:szCs w:val="20"/>
        </w:rPr>
      </w:pPr>
    </w:p>
    <w:p w14:paraId="3A1E6B32" w14:textId="4DBAFF98" w:rsidR="00CF3818" w:rsidRDefault="00431291" w:rsidP="00CF3818">
      <w:pPr>
        <w:spacing w:after="120"/>
        <w:ind w:right="99"/>
        <w:jc w:val="both"/>
        <w:rPr>
          <w:rFonts w:ascii="Arial" w:hAnsi="Arial" w:cs="Arial"/>
          <w:i/>
          <w:sz w:val="20"/>
          <w:szCs w:val="20"/>
        </w:rPr>
      </w:pPr>
      <w:r w:rsidRPr="00431291">
        <w:rPr>
          <w:rFonts w:ascii="Arial" w:hAnsi="Arial" w:cs="Arial"/>
          <w:i/>
          <w:sz w:val="20"/>
          <w:szCs w:val="20"/>
        </w:rPr>
        <w:t xml:space="preserve">La compra de energía como usuario no regulado implica que el Grupo Empresarial puede tener un solo contrato de suministro con un comercializador por cada </w:t>
      </w:r>
      <w:r w:rsidRPr="00CF3818">
        <w:rPr>
          <w:rFonts w:ascii="Arial" w:hAnsi="Arial" w:cs="Arial"/>
          <w:i/>
          <w:sz w:val="20"/>
          <w:szCs w:val="20"/>
        </w:rPr>
        <w:t xml:space="preserve">frontera comercial,  donde se establecen para un periodo determinado y de manera inmodificable, el precio, la cantidad y las condiciones de entrega. La condición de usuario no regulado </w:t>
      </w:r>
      <w:r w:rsidR="00CF3818" w:rsidRPr="00CF3818">
        <w:rPr>
          <w:rFonts w:ascii="Arial" w:hAnsi="Arial" w:cs="Arial"/>
          <w:i/>
          <w:sz w:val="20"/>
          <w:szCs w:val="20"/>
        </w:rPr>
        <w:t>lo deja expuesto a un reducido grupo de comercializadores que están en capacidad operativa, técnica y económica  de abastecer la energía requerida por el grupo empresarial. Esta restricción les brinda a estos agentes una posición dominante en las negociaciones para fijar los precios a su conveniencia y limitar la capacidad de maniobra del grupo para obtener mejores condiciones en la compra de energía</w:t>
      </w:r>
      <w:r w:rsidR="00CF3818">
        <w:rPr>
          <w:rFonts w:ascii="Arial" w:hAnsi="Arial" w:cs="Arial"/>
          <w:i/>
          <w:sz w:val="20"/>
          <w:szCs w:val="20"/>
        </w:rPr>
        <w:t>..</w:t>
      </w:r>
      <w:r w:rsidR="00CF3818" w:rsidRPr="00CF3818">
        <w:rPr>
          <w:rFonts w:ascii="Arial" w:hAnsi="Arial" w:cs="Arial"/>
          <w:i/>
          <w:sz w:val="20"/>
          <w:szCs w:val="20"/>
        </w:rPr>
        <w:t>.</w:t>
      </w:r>
      <w:r w:rsidR="00CF3818">
        <w:rPr>
          <w:rFonts w:ascii="Arial" w:hAnsi="Arial" w:cs="Arial"/>
          <w:i/>
          <w:sz w:val="20"/>
          <w:szCs w:val="20"/>
        </w:rPr>
        <w:t>”</w:t>
      </w:r>
    </w:p>
    <w:p w14:paraId="19EC4AE1" w14:textId="77777777" w:rsidR="00CF3818" w:rsidRPr="00CF3818" w:rsidRDefault="00CF3818" w:rsidP="00CF3818">
      <w:pPr>
        <w:spacing w:after="120"/>
        <w:ind w:right="99"/>
        <w:jc w:val="both"/>
        <w:rPr>
          <w:rFonts w:ascii="Arial" w:hAnsi="Arial" w:cs="Arial"/>
        </w:rPr>
      </w:pPr>
    </w:p>
    <w:p w14:paraId="72C15CAE" w14:textId="1164F8A6" w:rsidR="009E42CD" w:rsidRDefault="00CF3818" w:rsidP="00CF3818">
      <w:pPr>
        <w:spacing w:after="120"/>
        <w:ind w:right="99"/>
        <w:jc w:val="both"/>
        <w:rPr>
          <w:rFonts w:ascii="Arial" w:hAnsi="Arial" w:cs="Arial"/>
        </w:rPr>
      </w:pPr>
      <w:r w:rsidRPr="00CF3818">
        <w:rPr>
          <w:rFonts w:ascii="Arial" w:hAnsi="Arial" w:cs="Arial"/>
        </w:rPr>
        <w:t>En relación con la estrategia y comercialización directa de energía</w:t>
      </w:r>
      <w:r>
        <w:rPr>
          <w:rFonts w:ascii="Arial" w:hAnsi="Arial" w:cs="Arial"/>
        </w:rPr>
        <w:t xml:space="preserve">, el mencionado soporte técnico </w:t>
      </w:r>
      <w:r w:rsidR="00B178CA">
        <w:rPr>
          <w:rFonts w:ascii="Arial" w:hAnsi="Arial" w:cs="Arial"/>
        </w:rPr>
        <w:t xml:space="preserve">señala </w:t>
      </w:r>
      <w:r w:rsidR="009E42CD">
        <w:rPr>
          <w:rFonts w:ascii="Arial" w:hAnsi="Arial" w:cs="Arial"/>
        </w:rPr>
        <w:t>los siguientes beneficios</w:t>
      </w:r>
      <w:r w:rsidR="00F369DA">
        <w:rPr>
          <w:rFonts w:ascii="Arial" w:hAnsi="Arial" w:cs="Arial"/>
        </w:rPr>
        <w:t xml:space="preserve"> para Ecopetrol S.A. y </w:t>
      </w:r>
      <w:r w:rsidR="00B178CA">
        <w:rPr>
          <w:rFonts w:ascii="Arial" w:hAnsi="Arial" w:cs="Arial"/>
        </w:rPr>
        <w:t xml:space="preserve">para </w:t>
      </w:r>
      <w:r w:rsidR="00F369DA">
        <w:rPr>
          <w:rFonts w:ascii="Arial" w:hAnsi="Arial" w:cs="Arial"/>
        </w:rPr>
        <w:t>su grupo empresarial</w:t>
      </w:r>
      <w:r w:rsidR="009E42CD">
        <w:rPr>
          <w:rFonts w:ascii="Arial" w:hAnsi="Arial" w:cs="Arial"/>
        </w:rPr>
        <w:t>:</w:t>
      </w:r>
    </w:p>
    <w:p w14:paraId="1C19226A" w14:textId="21AB3078" w:rsidR="009E42CD" w:rsidRDefault="009E42CD" w:rsidP="009E42CD">
      <w:pPr>
        <w:spacing w:after="0"/>
        <w:ind w:left="709" w:right="616" w:hanging="142"/>
        <w:rPr>
          <w:rFonts w:ascii="Arial" w:hAnsi="Arial" w:cs="Arial"/>
          <w:b/>
          <w:i/>
          <w:sz w:val="20"/>
          <w:szCs w:val="20"/>
          <w:lang w:val="es-ES"/>
        </w:rPr>
      </w:pPr>
      <w:r>
        <w:rPr>
          <w:rFonts w:ascii="Arial" w:hAnsi="Arial" w:cs="Arial"/>
          <w:b/>
          <w:i/>
          <w:sz w:val="20"/>
          <w:szCs w:val="20"/>
          <w:lang w:val="es-ES"/>
        </w:rPr>
        <w:t>“</w:t>
      </w:r>
      <w:r w:rsidRPr="009E42CD">
        <w:rPr>
          <w:rFonts w:ascii="Arial" w:hAnsi="Arial" w:cs="Arial"/>
          <w:b/>
          <w:i/>
          <w:sz w:val="20"/>
          <w:szCs w:val="20"/>
          <w:lang w:val="es-ES"/>
        </w:rPr>
        <w:t>Optimización de costos</w:t>
      </w:r>
    </w:p>
    <w:p w14:paraId="588A1E1A" w14:textId="77777777" w:rsidR="009E42CD" w:rsidRPr="009E42CD" w:rsidRDefault="009E42CD" w:rsidP="009E42CD">
      <w:pPr>
        <w:spacing w:after="0"/>
        <w:ind w:left="709" w:right="616" w:hanging="142"/>
        <w:rPr>
          <w:rFonts w:ascii="Arial" w:hAnsi="Arial" w:cs="Arial"/>
          <w:b/>
          <w:i/>
          <w:sz w:val="20"/>
          <w:szCs w:val="20"/>
          <w:lang w:val="es-ES"/>
        </w:rPr>
      </w:pPr>
    </w:p>
    <w:p w14:paraId="0B4A0BC9" w14:textId="77777777" w:rsidR="009E42CD" w:rsidRPr="009E42CD" w:rsidRDefault="009E42CD" w:rsidP="009E42CD">
      <w:pPr>
        <w:pStyle w:val="Prrafodelista"/>
        <w:numPr>
          <w:ilvl w:val="0"/>
          <w:numId w:val="7"/>
        </w:numPr>
        <w:tabs>
          <w:tab w:val="left" w:pos="142"/>
        </w:tabs>
        <w:spacing w:after="0" w:line="240" w:lineRule="auto"/>
        <w:ind w:left="709" w:right="616" w:hanging="142"/>
        <w:contextualSpacing/>
        <w:jc w:val="both"/>
        <w:rPr>
          <w:rFonts w:cs="Arial"/>
          <w:i/>
          <w:sz w:val="20"/>
          <w:szCs w:val="20"/>
        </w:rPr>
      </w:pPr>
      <w:r w:rsidRPr="009E42CD">
        <w:rPr>
          <w:rFonts w:cs="Arial"/>
          <w:i/>
          <w:sz w:val="20"/>
          <w:szCs w:val="20"/>
        </w:rPr>
        <w:t>Eliminar la intermediación que los comercializadores aplican al componente de generación: 10 COP/</w:t>
      </w:r>
      <w:proofErr w:type="spellStart"/>
      <w:r w:rsidRPr="009E42CD">
        <w:rPr>
          <w:rFonts w:cs="Arial"/>
          <w:i/>
          <w:sz w:val="20"/>
          <w:szCs w:val="20"/>
        </w:rPr>
        <w:t>kWh</w:t>
      </w:r>
      <w:proofErr w:type="spellEnd"/>
      <w:r w:rsidRPr="009E42CD">
        <w:rPr>
          <w:rFonts w:cs="Arial"/>
          <w:i/>
          <w:sz w:val="20"/>
          <w:szCs w:val="20"/>
        </w:rPr>
        <w:t>.</w:t>
      </w:r>
    </w:p>
    <w:p w14:paraId="32B2D83D" w14:textId="77777777" w:rsidR="009E42CD" w:rsidRPr="009E42CD" w:rsidRDefault="009E42CD" w:rsidP="009E42CD">
      <w:pPr>
        <w:pStyle w:val="Prrafodelista"/>
        <w:numPr>
          <w:ilvl w:val="0"/>
          <w:numId w:val="7"/>
        </w:numPr>
        <w:tabs>
          <w:tab w:val="left" w:pos="142"/>
        </w:tabs>
        <w:spacing w:after="0" w:line="240" w:lineRule="auto"/>
        <w:ind w:left="709" w:right="616" w:hanging="142"/>
        <w:contextualSpacing/>
        <w:jc w:val="both"/>
        <w:rPr>
          <w:rFonts w:cs="Arial"/>
          <w:i/>
          <w:sz w:val="20"/>
          <w:szCs w:val="20"/>
        </w:rPr>
      </w:pPr>
      <w:r w:rsidRPr="009E42CD">
        <w:rPr>
          <w:rFonts w:cs="Arial"/>
          <w:i/>
          <w:sz w:val="20"/>
          <w:szCs w:val="20"/>
        </w:rPr>
        <w:t>Reducir en un 50% la tarifa de comercialización que los comercializadores aplican  a las transacciones de compra y venta de energía: 5 COP/</w:t>
      </w:r>
      <w:proofErr w:type="spellStart"/>
      <w:r w:rsidRPr="009E42CD">
        <w:rPr>
          <w:rFonts w:cs="Arial"/>
          <w:i/>
          <w:sz w:val="20"/>
          <w:szCs w:val="20"/>
        </w:rPr>
        <w:t>kWh</w:t>
      </w:r>
      <w:proofErr w:type="spellEnd"/>
      <w:r w:rsidRPr="009E42CD">
        <w:rPr>
          <w:rFonts w:cs="Arial"/>
          <w:i/>
          <w:sz w:val="20"/>
          <w:szCs w:val="20"/>
        </w:rPr>
        <w:t xml:space="preserve">. </w:t>
      </w:r>
    </w:p>
    <w:p w14:paraId="121E7B2C" w14:textId="77777777" w:rsidR="009E42CD" w:rsidRPr="009E42CD" w:rsidRDefault="009E42CD" w:rsidP="009E42CD">
      <w:pPr>
        <w:pStyle w:val="Prrafodelista"/>
        <w:numPr>
          <w:ilvl w:val="0"/>
          <w:numId w:val="7"/>
        </w:numPr>
        <w:tabs>
          <w:tab w:val="left" w:pos="142"/>
        </w:tabs>
        <w:spacing w:after="0" w:line="240" w:lineRule="auto"/>
        <w:ind w:left="709" w:right="616" w:hanging="142"/>
        <w:contextualSpacing/>
        <w:jc w:val="both"/>
        <w:rPr>
          <w:rFonts w:cs="Arial"/>
          <w:i/>
          <w:sz w:val="20"/>
          <w:szCs w:val="20"/>
        </w:rPr>
      </w:pPr>
      <w:r w:rsidRPr="009E42CD">
        <w:rPr>
          <w:rFonts w:cs="Arial"/>
          <w:i/>
          <w:sz w:val="20"/>
          <w:szCs w:val="20"/>
        </w:rPr>
        <w:t>Movilizar los excedentes de energía que el grupo tiene hacia centros de consumo que compran este recurso en el Mercado de Energía Mayorista, promoviendo la autosuficiencia y mitigando la salida de efectivo hacia terceros y generando un ahorro de COP $15 millardos por año por cada 10 MW utilizados.</w:t>
      </w:r>
    </w:p>
    <w:p w14:paraId="22872798" w14:textId="77777777" w:rsidR="009E42CD" w:rsidRPr="009E42CD" w:rsidRDefault="009E42CD" w:rsidP="009E42CD">
      <w:pPr>
        <w:pStyle w:val="Prrafodelista"/>
        <w:tabs>
          <w:tab w:val="left" w:pos="142"/>
        </w:tabs>
        <w:spacing w:after="0" w:line="240" w:lineRule="auto"/>
        <w:ind w:left="709" w:right="616" w:hanging="142"/>
        <w:jc w:val="both"/>
        <w:rPr>
          <w:rFonts w:cs="Arial"/>
          <w:i/>
          <w:sz w:val="20"/>
          <w:szCs w:val="20"/>
        </w:rPr>
      </w:pPr>
    </w:p>
    <w:p w14:paraId="3606B129" w14:textId="77777777" w:rsidR="009E42CD" w:rsidRDefault="009E42CD" w:rsidP="009E42CD">
      <w:pPr>
        <w:spacing w:after="0"/>
        <w:ind w:left="709" w:right="616" w:hanging="142"/>
        <w:rPr>
          <w:rFonts w:ascii="Arial" w:hAnsi="Arial" w:cs="Arial"/>
          <w:b/>
          <w:i/>
          <w:sz w:val="20"/>
          <w:szCs w:val="20"/>
          <w:lang w:val="es-ES"/>
        </w:rPr>
      </w:pPr>
      <w:r w:rsidRPr="009E42CD">
        <w:rPr>
          <w:rFonts w:ascii="Arial" w:hAnsi="Arial" w:cs="Arial"/>
          <w:b/>
          <w:i/>
          <w:sz w:val="20"/>
          <w:szCs w:val="20"/>
          <w:lang w:val="es-ES"/>
        </w:rPr>
        <w:t>Diversificación de las fuentes de suministro</w:t>
      </w:r>
    </w:p>
    <w:p w14:paraId="044C02F8" w14:textId="77777777" w:rsidR="009E42CD" w:rsidRPr="009E42CD" w:rsidRDefault="009E42CD" w:rsidP="009E42CD">
      <w:pPr>
        <w:spacing w:after="0"/>
        <w:ind w:left="709" w:right="616" w:hanging="142"/>
        <w:rPr>
          <w:rFonts w:ascii="Arial" w:hAnsi="Arial" w:cs="Arial"/>
          <w:b/>
          <w:i/>
          <w:sz w:val="20"/>
          <w:szCs w:val="20"/>
          <w:lang w:val="es-ES"/>
        </w:rPr>
      </w:pPr>
    </w:p>
    <w:p w14:paraId="39C73B8D" w14:textId="77777777" w:rsidR="009E42CD" w:rsidRPr="009E42CD" w:rsidRDefault="009E42CD" w:rsidP="009E42CD">
      <w:pPr>
        <w:pStyle w:val="Prrafodelista"/>
        <w:numPr>
          <w:ilvl w:val="0"/>
          <w:numId w:val="7"/>
        </w:numPr>
        <w:tabs>
          <w:tab w:val="left" w:pos="142"/>
        </w:tabs>
        <w:spacing w:after="0" w:line="240" w:lineRule="auto"/>
        <w:ind w:left="709" w:right="616" w:hanging="142"/>
        <w:contextualSpacing/>
        <w:jc w:val="both"/>
        <w:rPr>
          <w:rFonts w:cs="Arial"/>
          <w:i/>
          <w:sz w:val="20"/>
          <w:szCs w:val="20"/>
        </w:rPr>
      </w:pPr>
      <w:r w:rsidRPr="009E42CD">
        <w:rPr>
          <w:rFonts w:cs="Arial"/>
          <w:i/>
          <w:sz w:val="20"/>
          <w:szCs w:val="20"/>
        </w:rPr>
        <w:t xml:space="preserve">Acceder a un portafolio más amplio de fuentes de generación de energía con precios más competitivos. </w:t>
      </w:r>
    </w:p>
    <w:p w14:paraId="2B4458E8" w14:textId="77777777" w:rsidR="009E42CD" w:rsidRPr="009E42CD" w:rsidRDefault="009E42CD" w:rsidP="009E42CD">
      <w:pPr>
        <w:pStyle w:val="Prrafodelista"/>
        <w:numPr>
          <w:ilvl w:val="0"/>
          <w:numId w:val="7"/>
        </w:numPr>
        <w:tabs>
          <w:tab w:val="left" w:pos="142"/>
        </w:tabs>
        <w:spacing w:after="0" w:line="240" w:lineRule="auto"/>
        <w:ind w:left="709" w:right="616" w:hanging="142"/>
        <w:contextualSpacing/>
        <w:jc w:val="both"/>
        <w:rPr>
          <w:rFonts w:cs="Arial"/>
          <w:i/>
          <w:sz w:val="20"/>
          <w:szCs w:val="20"/>
        </w:rPr>
      </w:pPr>
      <w:r w:rsidRPr="009E42CD">
        <w:rPr>
          <w:rFonts w:cs="Arial"/>
          <w:i/>
          <w:sz w:val="20"/>
          <w:szCs w:val="20"/>
        </w:rPr>
        <w:t>Contratar libre y simultáneamente con varios agentes facilitando la consecución de tarifas más competitivas.</w:t>
      </w:r>
    </w:p>
    <w:p w14:paraId="45B1BEC3" w14:textId="77777777" w:rsidR="009E42CD" w:rsidRDefault="009E42CD" w:rsidP="009E42CD">
      <w:pPr>
        <w:spacing w:after="0"/>
        <w:ind w:left="709" w:right="616" w:hanging="142"/>
        <w:rPr>
          <w:rFonts w:ascii="Arial" w:hAnsi="Arial" w:cs="Arial"/>
          <w:b/>
          <w:i/>
          <w:sz w:val="20"/>
          <w:szCs w:val="20"/>
          <w:lang w:val="es-ES"/>
        </w:rPr>
      </w:pPr>
    </w:p>
    <w:p w14:paraId="3C6E8070" w14:textId="77777777" w:rsidR="009E42CD" w:rsidRDefault="009E42CD" w:rsidP="009E42CD">
      <w:pPr>
        <w:spacing w:after="0"/>
        <w:ind w:left="709" w:right="616" w:hanging="142"/>
        <w:rPr>
          <w:rFonts w:ascii="Arial" w:hAnsi="Arial" w:cs="Arial"/>
          <w:b/>
          <w:i/>
          <w:sz w:val="20"/>
          <w:szCs w:val="20"/>
          <w:lang w:val="es-ES"/>
        </w:rPr>
      </w:pPr>
      <w:r w:rsidRPr="009E42CD">
        <w:rPr>
          <w:rFonts w:ascii="Arial" w:hAnsi="Arial" w:cs="Arial"/>
          <w:b/>
          <w:i/>
          <w:sz w:val="20"/>
          <w:szCs w:val="20"/>
          <w:lang w:val="es-ES"/>
        </w:rPr>
        <w:t>Generación de nuevos ingresos</w:t>
      </w:r>
    </w:p>
    <w:p w14:paraId="4EF00738" w14:textId="77777777" w:rsidR="009E42CD" w:rsidRPr="009E42CD" w:rsidRDefault="009E42CD" w:rsidP="009E42CD">
      <w:pPr>
        <w:spacing w:after="0"/>
        <w:ind w:left="709" w:right="616" w:hanging="142"/>
        <w:rPr>
          <w:rFonts w:ascii="Arial" w:hAnsi="Arial" w:cs="Arial"/>
          <w:b/>
          <w:i/>
          <w:sz w:val="20"/>
          <w:szCs w:val="20"/>
          <w:lang w:val="es-ES"/>
        </w:rPr>
      </w:pPr>
    </w:p>
    <w:p w14:paraId="76422153" w14:textId="77777777" w:rsidR="009E42CD" w:rsidRPr="009E42CD" w:rsidRDefault="009E42CD" w:rsidP="009E42CD">
      <w:pPr>
        <w:pStyle w:val="Prrafodelista"/>
        <w:numPr>
          <w:ilvl w:val="0"/>
          <w:numId w:val="8"/>
        </w:numPr>
        <w:tabs>
          <w:tab w:val="left" w:pos="142"/>
        </w:tabs>
        <w:spacing w:after="0"/>
        <w:ind w:left="709" w:right="616" w:hanging="142"/>
        <w:contextualSpacing/>
        <w:jc w:val="both"/>
        <w:rPr>
          <w:rFonts w:cs="Arial"/>
          <w:b/>
          <w:i/>
          <w:sz w:val="20"/>
          <w:szCs w:val="20"/>
          <w:lang w:val="es-ES"/>
        </w:rPr>
      </w:pPr>
      <w:r w:rsidRPr="009E42CD">
        <w:rPr>
          <w:rFonts w:cs="Arial"/>
          <w:i/>
          <w:sz w:val="20"/>
          <w:szCs w:val="20"/>
        </w:rPr>
        <w:t>Representar a plantas de generación con líquidos o biomasa en subastas del cargo por confiabilidad. Ingreso anual estimado en COP $17 millardos por año (</w:t>
      </w:r>
      <w:proofErr w:type="spellStart"/>
      <w:r w:rsidRPr="009E42CD">
        <w:rPr>
          <w:rFonts w:cs="Arial"/>
          <w:i/>
          <w:sz w:val="20"/>
          <w:szCs w:val="20"/>
        </w:rPr>
        <w:t>Upside</w:t>
      </w:r>
      <w:proofErr w:type="spellEnd"/>
      <w:r w:rsidRPr="009E42CD">
        <w:rPr>
          <w:rFonts w:cs="Arial"/>
          <w:i/>
          <w:sz w:val="20"/>
          <w:szCs w:val="20"/>
        </w:rPr>
        <w:t>).</w:t>
      </w:r>
    </w:p>
    <w:p w14:paraId="620568C8" w14:textId="77777777" w:rsidR="009E42CD" w:rsidRPr="009E42CD" w:rsidRDefault="009E42CD" w:rsidP="009E42CD">
      <w:pPr>
        <w:pStyle w:val="Prrafodelista"/>
        <w:tabs>
          <w:tab w:val="left" w:pos="142"/>
        </w:tabs>
        <w:spacing w:after="0"/>
        <w:ind w:left="709" w:right="616" w:hanging="142"/>
        <w:jc w:val="both"/>
        <w:rPr>
          <w:rFonts w:cs="Arial"/>
          <w:b/>
          <w:i/>
          <w:sz w:val="20"/>
          <w:szCs w:val="20"/>
          <w:lang w:val="es-ES"/>
        </w:rPr>
      </w:pPr>
    </w:p>
    <w:p w14:paraId="0491B5C6" w14:textId="77777777" w:rsidR="009E42CD" w:rsidRDefault="009E42CD" w:rsidP="009E42CD">
      <w:pPr>
        <w:pStyle w:val="Prrafodelista"/>
        <w:tabs>
          <w:tab w:val="left" w:pos="142"/>
        </w:tabs>
        <w:spacing w:after="0" w:line="240" w:lineRule="auto"/>
        <w:ind w:left="709" w:right="616"/>
        <w:contextualSpacing/>
        <w:jc w:val="both"/>
        <w:rPr>
          <w:rFonts w:cs="Arial"/>
          <w:b/>
          <w:i/>
          <w:sz w:val="20"/>
          <w:szCs w:val="20"/>
          <w:lang w:val="es-ES"/>
        </w:rPr>
      </w:pPr>
      <w:r w:rsidRPr="009E42CD">
        <w:rPr>
          <w:rFonts w:cs="Arial"/>
          <w:b/>
          <w:i/>
          <w:sz w:val="20"/>
          <w:szCs w:val="20"/>
          <w:lang w:val="es-ES"/>
        </w:rPr>
        <w:t>Optimización de portafolio energético</w:t>
      </w:r>
    </w:p>
    <w:p w14:paraId="6951DB03" w14:textId="77777777" w:rsidR="009E42CD" w:rsidRPr="009E42CD" w:rsidRDefault="009E42CD" w:rsidP="009E42CD">
      <w:pPr>
        <w:pStyle w:val="Prrafodelista"/>
        <w:tabs>
          <w:tab w:val="left" w:pos="142"/>
        </w:tabs>
        <w:spacing w:after="0" w:line="240" w:lineRule="auto"/>
        <w:ind w:left="709" w:right="616"/>
        <w:contextualSpacing/>
        <w:jc w:val="both"/>
        <w:rPr>
          <w:rFonts w:cs="Arial"/>
          <w:b/>
          <w:i/>
          <w:sz w:val="20"/>
          <w:szCs w:val="20"/>
          <w:lang w:val="es-ES"/>
        </w:rPr>
      </w:pPr>
    </w:p>
    <w:p w14:paraId="64F71CBB" w14:textId="6142BE44" w:rsidR="009E42CD" w:rsidRPr="009E42CD" w:rsidRDefault="009E42CD" w:rsidP="009E42CD">
      <w:pPr>
        <w:pStyle w:val="Prrafodelista"/>
        <w:numPr>
          <w:ilvl w:val="0"/>
          <w:numId w:val="7"/>
        </w:numPr>
        <w:tabs>
          <w:tab w:val="left" w:pos="142"/>
        </w:tabs>
        <w:spacing w:after="0" w:line="240" w:lineRule="auto"/>
        <w:ind w:left="709" w:right="616" w:hanging="142"/>
        <w:contextualSpacing/>
        <w:jc w:val="both"/>
        <w:rPr>
          <w:rFonts w:cs="Arial"/>
          <w:i/>
          <w:sz w:val="20"/>
          <w:szCs w:val="20"/>
        </w:rPr>
      </w:pPr>
      <w:r w:rsidRPr="009E42CD">
        <w:rPr>
          <w:rFonts w:cs="Arial"/>
          <w:i/>
          <w:sz w:val="20"/>
          <w:szCs w:val="20"/>
        </w:rPr>
        <w:t>Habilitar múltiples mecanismos de contratación de manera flexible y de rápida reacción ante los cambios en el mercado.</w:t>
      </w:r>
      <w:r>
        <w:rPr>
          <w:rFonts w:cs="Arial"/>
          <w:i/>
          <w:sz w:val="20"/>
          <w:szCs w:val="20"/>
        </w:rPr>
        <w:t>”</w:t>
      </w:r>
    </w:p>
    <w:p w14:paraId="4F0A2A8F" w14:textId="77777777" w:rsidR="00242FF3" w:rsidRPr="00431291" w:rsidRDefault="00242FF3" w:rsidP="00431291">
      <w:pPr>
        <w:pStyle w:val="Default"/>
        <w:jc w:val="both"/>
        <w:rPr>
          <w:sz w:val="22"/>
          <w:szCs w:val="22"/>
        </w:rPr>
      </w:pPr>
    </w:p>
    <w:p w14:paraId="42A56289" w14:textId="69A3C315" w:rsidR="002D2D62" w:rsidRPr="00431291" w:rsidRDefault="00242FF3" w:rsidP="00431291">
      <w:pPr>
        <w:jc w:val="both"/>
        <w:rPr>
          <w:rFonts w:ascii="Arial" w:hAnsi="Arial" w:cs="Arial"/>
          <w:color w:val="000000"/>
        </w:rPr>
      </w:pPr>
      <w:r w:rsidRPr="00431291">
        <w:rPr>
          <w:rFonts w:ascii="Arial" w:hAnsi="Arial" w:cs="Arial"/>
          <w:color w:val="000000"/>
        </w:rPr>
        <w:t xml:space="preserve">De </w:t>
      </w:r>
      <w:r w:rsidR="002D2D62" w:rsidRPr="00431291">
        <w:rPr>
          <w:rFonts w:ascii="Arial" w:hAnsi="Arial" w:cs="Arial"/>
          <w:color w:val="000000"/>
        </w:rPr>
        <w:t xml:space="preserve">conformidad con lo establecido en el literal a) numeral 3°, artículo 26 de los estatutos sociales de Ecopetrol S.A., en sesión del 20 de octubre de 2017 la Junta Directiva de Ecopetrol S.A. impartió autorización previa, </w:t>
      </w:r>
      <w:r w:rsidR="002D2D62" w:rsidRPr="00431291">
        <w:rPr>
          <w:rFonts w:ascii="Arial" w:hAnsi="Arial" w:cs="Arial"/>
        </w:rPr>
        <w:t xml:space="preserve">con base en los </w:t>
      </w:r>
      <w:r w:rsidR="00431291" w:rsidRPr="00431291">
        <w:rPr>
          <w:rFonts w:ascii="Arial" w:hAnsi="Arial" w:cs="Arial"/>
        </w:rPr>
        <w:t xml:space="preserve">mencionados </w:t>
      </w:r>
      <w:r w:rsidR="002D2D62" w:rsidRPr="00431291">
        <w:rPr>
          <w:rFonts w:ascii="Arial" w:hAnsi="Arial" w:cs="Arial"/>
        </w:rPr>
        <w:t>estudios técnicos,</w:t>
      </w:r>
      <w:r w:rsidR="002D2D62" w:rsidRPr="00431291">
        <w:rPr>
          <w:rFonts w:ascii="Arial" w:hAnsi="Arial" w:cs="Arial"/>
          <w:color w:val="000000"/>
        </w:rPr>
        <w:t xml:space="preserve"> para participar en la constitución de una filial nacional cuyo objeto social principal será la generación, transformación y comercialización de energía, la prestación de servicios relacionados, conexos o complementarios a la generación, transformación y comercialización de energía eléctrica para el Grupo Empresarial Ecopetrol y terceros, en los términos de las leyes 142 y 143 de 1994. </w:t>
      </w:r>
    </w:p>
    <w:p w14:paraId="612DE3EC" w14:textId="77777777" w:rsidR="00FB1FA2" w:rsidRPr="00431291" w:rsidRDefault="00FB1FA2" w:rsidP="00FB1FA2">
      <w:pPr>
        <w:pStyle w:val="Textoindependiente"/>
        <w:numPr>
          <w:ilvl w:val="0"/>
          <w:numId w:val="5"/>
        </w:numPr>
        <w:jc w:val="left"/>
        <w:rPr>
          <w:rFonts w:cs="Arial"/>
          <w:b/>
          <w:sz w:val="22"/>
          <w:szCs w:val="22"/>
          <w:lang w:val="es-CO"/>
        </w:rPr>
      </w:pPr>
      <w:r w:rsidRPr="00431291">
        <w:rPr>
          <w:rFonts w:cs="Arial"/>
          <w:b/>
          <w:sz w:val="22"/>
          <w:szCs w:val="22"/>
          <w:lang w:val="es-CO"/>
        </w:rPr>
        <w:t>AMBITO DE APLICACIÓN</w:t>
      </w:r>
    </w:p>
    <w:p w14:paraId="388DB565" w14:textId="77777777" w:rsidR="00FB1FA2" w:rsidRPr="00431291" w:rsidRDefault="00FB1FA2" w:rsidP="00FB1FA2">
      <w:pPr>
        <w:pStyle w:val="Textoindependiente"/>
        <w:jc w:val="left"/>
        <w:rPr>
          <w:rFonts w:cs="Arial"/>
          <w:sz w:val="22"/>
          <w:szCs w:val="22"/>
          <w:lang w:val="es-CO"/>
        </w:rPr>
      </w:pPr>
    </w:p>
    <w:p w14:paraId="28A9C958" w14:textId="2FA9EF68" w:rsidR="00FB1FA2" w:rsidRPr="00431291" w:rsidRDefault="00264692" w:rsidP="00FB1FA2">
      <w:pPr>
        <w:pStyle w:val="Default"/>
        <w:jc w:val="both"/>
        <w:rPr>
          <w:sz w:val="22"/>
          <w:szCs w:val="22"/>
        </w:rPr>
      </w:pPr>
      <w:r>
        <w:rPr>
          <w:sz w:val="22"/>
          <w:szCs w:val="22"/>
        </w:rPr>
        <w:t>El decreto a</w:t>
      </w:r>
      <w:r w:rsidR="00B178CA">
        <w:rPr>
          <w:sz w:val="22"/>
          <w:szCs w:val="22"/>
        </w:rPr>
        <w:t xml:space="preserve">plica exclusivamente a </w:t>
      </w:r>
      <w:r>
        <w:rPr>
          <w:sz w:val="22"/>
          <w:szCs w:val="22"/>
        </w:rPr>
        <w:t>Ecopetrol S.A.</w:t>
      </w:r>
    </w:p>
    <w:p w14:paraId="149DFEED" w14:textId="77777777" w:rsidR="00FB1FA2" w:rsidRDefault="00FB1FA2" w:rsidP="00FB1FA2">
      <w:pPr>
        <w:pStyle w:val="Textoindependiente"/>
        <w:rPr>
          <w:rFonts w:cs="Arial"/>
          <w:sz w:val="22"/>
          <w:szCs w:val="22"/>
          <w:lang w:val="es-CO"/>
        </w:rPr>
      </w:pPr>
    </w:p>
    <w:p w14:paraId="2552228E" w14:textId="77777777" w:rsidR="0032390A" w:rsidRDefault="0032390A" w:rsidP="00FB1FA2">
      <w:pPr>
        <w:pStyle w:val="Textoindependiente"/>
        <w:rPr>
          <w:rFonts w:cs="Arial"/>
          <w:sz w:val="22"/>
          <w:szCs w:val="22"/>
          <w:lang w:val="es-CO"/>
        </w:rPr>
      </w:pPr>
    </w:p>
    <w:p w14:paraId="5B0456C9" w14:textId="77777777" w:rsidR="0032390A" w:rsidRPr="00431291" w:rsidRDefault="0032390A" w:rsidP="00FB1FA2">
      <w:pPr>
        <w:pStyle w:val="Textoindependiente"/>
        <w:rPr>
          <w:rFonts w:cs="Arial"/>
          <w:sz w:val="22"/>
          <w:szCs w:val="22"/>
          <w:lang w:val="es-CO"/>
        </w:rPr>
      </w:pPr>
    </w:p>
    <w:p w14:paraId="0C49884B" w14:textId="77777777" w:rsidR="00FB1FA2" w:rsidRPr="00431291" w:rsidRDefault="00FB1FA2" w:rsidP="00FB1FA2">
      <w:pPr>
        <w:pStyle w:val="Textoindependiente"/>
        <w:numPr>
          <w:ilvl w:val="0"/>
          <w:numId w:val="5"/>
        </w:numPr>
        <w:jc w:val="left"/>
        <w:rPr>
          <w:rFonts w:cs="Arial"/>
          <w:b/>
          <w:sz w:val="22"/>
          <w:szCs w:val="22"/>
          <w:lang w:val="es-CO"/>
        </w:rPr>
      </w:pPr>
      <w:r w:rsidRPr="00431291">
        <w:rPr>
          <w:rFonts w:cs="Arial"/>
          <w:b/>
          <w:sz w:val="22"/>
          <w:szCs w:val="22"/>
          <w:lang w:val="es-CO"/>
        </w:rPr>
        <w:t>VIABILIDAD JURÍDICA</w:t>
      </w:r>
    </w:p>
    <w:p w14:paraId="7BFE4F94" w14:textId="77777777" w:rsidR="00FB1FA2" w:rsidRPr="00431291" w:rsidRDefault="00FB1FA2" w:rsidP="00FB1FA2">
      <w:pPr>
        <w:pStyle w:val="Textoindependiente"/>
        <w:jc w:val="left"/>
        <w:rPr>
          <w:rFonts w:cs="Arial"/>
          <w:b/>
          <w:sz w:val="22"/>
          <w:szCs w:val="22"/>
          <w:lang w:val="es-CO"/>
        </w:rPr>
      </w:pPr>
    </w:p>
    <w:p w14:paraId="663FD2A8" w14:textId="77777777" w:rsidR="00FB1FA2" w:rsidRPr="00431291" w:rsidRDefault="00FB1FA2" w:rsidP="00FB1FA2">
      <w:pPr>
        <w:pStyle w:val="Textoindependiente"/>
        <w:jc w:val="left"/>
        <w:rPr>
          <w:rFonts w:cs="Arial"/>
          <w:b/>
          <w:sz w:val="22"/>
          <w:szCs w:val="22"/>
          <w:lang w:val="es-CO"/>
        </w:rPr>
      </w:pPr>
      <w:r w:rsidRPr="00431291">
        <w:rPr>
          <w:rFonts w:cs="Arial"/>
          <w:b/>
          <w:sz w:val="22"/>
          <w:szCs w:val="22"/>
        </w:rPr>
        <w:t>3.1. Análisis expreso y detallado de las normas que otorgan la competencia para la expedición del correspondiente acto</w:t>
      </w:r>
    </w:p>
    <w:p w14:paraId="39815478" w14:textId="77777777" w:rsidR="00FB1FA2" w:rsidRDefault="00FB1FA2" w:rsidP="00FB1FA2">
      <w:pPr>
        <w:autoSpaceDE w:val="0"/>
        <w:autoSpaceDN w:val="0"/>
        <w:adjustRightInd w:val="0"/>
        <w:spacing w:after="0" w:line="240" w:lineRule="auto"/>
        <w:jc w:val="both"/>
        <w:rPr>
          <w:rFonts w:ascii="Arial" w:hAnsi="Arial" w:cs="Arial"/>
        </w:rPr>
      </w:pPr>
    </w:p>
    <w:p w14:paraId="7FC4A7BC" w14:textId="3EACB89C" w:rsidR="00264692" w:rsidRDefault="00FA28B8" w:rsidP="00264692">
      <w:pPr>
        <w:pStyle w:val="Textoindependiente"/>
        <w:rPr>
          <w:rFonts w:cs="Arial"/>
          <w:color w:val="000000"/>
          <w:sz w:val="22"/>
          <w:szCs w:val="22"/>
          <w:lang w:eastAsia="es-CO"/>
        </w:rPr>
      </w:pPr>
      <w:r>
        <w:rPr>
          <w:rFonts w:eastAsiaTheme="minorHAnsi" w:cs="Arial"/>
          <w:sz w:val="22"/>
          <w:szCs w:val="22"/>
          <w:lang w:val="es-CO" w:eastAsia="en-US"/>
        </w:rPr>
        <w:t>E</w:t>
      </w:r>
      <w:r w:rsidR="00264692" w:rsidRPr="001D0588">
        <w:rPr>
          <w:rFonts w:cs="Arial"/>
          <w:color w:val="000000"/>
          <w:sz w:val="22"/>
          <w:szCs w:val="22"/>
          <w:lang w:eastAsia="es-CO"/>
        </w:rPr>
        <w:t xml:space="preserve">l presente decreto </w:t>
      </w:r>
      <w:r>
        <w:rPr>
          <w:rFonts w:cs="Arial"/>
          <w:color w:val="000000"/>
          <w:sz w:val="22"/>
          <w:szCs w:val="22"/>
          <w:lang w:eastAsia="es-CO"/>
        </w:rPr>
        <w:t xml:space="preserve">se expide con base en lo establecido en </w:t>
      </w:r>
      <w:r w:rsidR="00264692" w:rsidRPr="001D0588">
        <w:rPr>
          <w:rFonts w:cs="Arial"/>
          <w:sz w:val="22"/>
          <w:szCs w:val="22"/>
          <w:lang w:eastAsia="es-CO"/>
        </w:rPr>
        <w:t xml:space="preserve">el parágrafo del artículo 49 de la Ley 489 de 1998 </w:t>
      </w:r>
      <w:r>
        <w:rPr>
          <w:rFonts w:cs="Arial"/>
          <w:sz w:val="22"/>
          <w:szCs w:val="22"/>
          <w:lang w:eastAsia="es-CO"/>
        </w:rPr>
        <w:t xml:space="preserve">que dispone </w:t>
      </w:r>
      <w:r w:rsidR="00264692" w:rsidRPr="001D0588">
        <w:rPr>
          <w:rFonts w:cs="Arial"/>
          <w:sz w:val="22"/>
          <w:szCs w:val="22"/>
          <w:lang w:eastAsia="es-CO"/>
        </w:rPr>
        <w:t xml:space="preserve">que las entidades descentralizadas indirectas y las filiales de las empresas industriales y comerciales del Estado y de las sociedades de </w:t>
      </w:r>
      <w:r w:rsidR="00264692" w:rsidRPr="001D0588">
        <w:rPr>
          <w:rFonts w:cs="Arial"/>
          <w:color w:val="000000"/>
          <w:sz w:val="22"/>
          <w:szCs w:val="22"/>
          <w:lang w:eastAsia="es-CO"/>
        </w:rPr>
        <w:t>economía mixta, se constituirán conforme con lo dispuesto en dicha ley y, en todo caso, previa autorización del Gobierno Nacional</w:t>
      </w:r>
    </w:p>
    <w:p w14:paraId="3663E570" w14:textId="77777777" w:rsidR="00264692" w:rsidRDefault="00264692" w:rsidP="00264692">
      <w:pPr>
        <w:pStyle w:val="Textoindependiente"/>
        <w:rPr>
          <w:rFonts w:cs="Arial"/>
          <w:color w:val="000000"/>
          <w:sz w:val="22"/>
          <w:szCs w:val="22"/>
          <w:lang w:eastAsia="es-CO"/>
        </w:rPr>
      </w:pPr>
    </w:p>
    <w:p w14:paraId="27FE0FE9" w14:textId="1C578FFB" w:rsidR="00264692" w:rsidRPr="00431291" w:rsidRDefault="00264692" w:rsidP="00264692">
      <w:pPr>
        <w:spacing w:after="0" w:line="240" w:lineRule="auto"/>
        <w:jc w:val="both"/>
        <w:rPr>
          <w:rFonts w:ascii="Arial" w:eastAsia="Times New Roman" w:hAnsi="Arial" w:cs="Arial"/>
          <w:color w:val="000000"/>
          <w:lang w:eastAsia="es-CO"/>
        </w:rPr>
      </w:pPr>
      <w:r w:rsidRPr="00F609CE">
        <w:rPr>
          <w:rFonts w:ascii="Arial" w:eastAsia="Times New Roman" w:hAnsi="Arial" w:cs="Arial"/>
          <w:color w:val="000000"/>
          <w:lang w:eastAsia="es-CO"/>
        </w:rPr>
        <w:t xml:space="preserve">En el marco de la revisión del decreto en general y de su viabilidad jurídica en particular, el equipo de Ecopetrol </w:t>
      </w:r>
      <w:r w:rsidR="00FA28B8">
        <w:rPr>
          <w:rFonts w:ascii="Arial" w:eastAsia="Times New Roman" w:hAnsi="Arial" w:cs="Arial"/>
          <w:color w:val="000000"/>
          <w:lang w:eastAsia="es-CO"/>
        </w:rPr>
        <w:t xml:space="preserve">S.A. </w:t>
      </w:r>
      <w:r w:rsidRPr="00F609CE">
        <w:rPr>
          <w:rFonts w:ascii="Arial" w:eastAsia="Times New Roman" w:hAnsi="Arial" w:cs="Arial"/>
          <w:color w:val="000000"/>
          <w:lang w:eastAsia="es-CO"/>
        </w:rPr>
        <w:t xml:space="preserve">se reunió con el Ministerio de Hacienda, con el Ministerio de Minas y Energía y con el Departamento Administrativo de la </w:t>
      </w:r>
      <w:r w:rsidR="00FA28B8" w:rsidRPr="00F609CE">
        <w:rPr>
          <w:rFonts w:ascii="Arial" w:eastAsia="Times New Roman" w:hAnsi="Arial" w:cs="Arial"/>
          <w:color w:val="000000"/>
          <w:lang w:eastAsia="es-CO"/>
        </w:rPr>
        <w:t>Función</w:t>
      </w:r>
      <w:r w:rsidRPr="00F609CE">
        <w:rPr>
          <w:rFonts w:ascii="Arial" w:eastAsia="Times New Roman" w:hAnsi="Arial" w:cs="Arial"/>
          <w:color w:val="000000"/>
          <w:lang w:eastAsia="es-CO"/>
        </w:rPr>
        <w:t xml:space="preserve"> Pública. En dichos escenarios se discutió si es o no necesario un Decreto de autorización de la constitución de la sociedad, teniendo en cuenta lo establecido en el artículo 22 de la ley 142 de 1994. Se concluyó que sí es necesario de conformidad con lo establecido en el citado parágrafo del artículo 49 de la ley 489 de 1998 y en concordancia con lo que ha establecido la jurisprudencia: "</w:t>
      </w:r>
      <w:r w:rsidRPr="00F609CE">
        <w:rPr>
          <w:rFonts w:ascii="Arial" w:eastAsia="Times New Roman" w:hAnsi="Arial" w:cs="Arial"/>
          <w:i/>
          <w:iCs/>
          <w:color w:val="000000"/>
          <w:lang w:eastAsia="es-CO"/>
        </w:rPr>
        <w:t>Significa entonces que, dentro del procedimiento de constitución de una entidad descentralizada indirecta, están previstas dos autorizaciones: la primera, ordenada por la Constitución, proveniente de la ley, la ordenanza o el acuerdo, por la cual se faculta a unas entidades para que constituyan otra; la segunda, ordenada por la ley, que debe proceder del gobierno nacional, el gobernador o el alcalde, para que esas entidades concurran al acto de constitución de la nueva y suscriban el correspondiente contrato de sociedad o de asociación. Es claro que en razón de la supremacía de la Constitución, esta segunda no puede sustituir a la primera; y que es competencia del legislador establecer los requisitos para la creación o constitución de las personas jurídicas, siempre que no se opongan a los de estirpe constitucional. A esta autorización se refiere el parágrafo del artículo 49 de la ley 489 de 1998, específicamente para las entidades descentralizadas indirectas, como requisito del acto de constitución de las mismas, que a su vez debe estar precedido por la autorización conferida por la ley, la ordenanza o el acuerdo, según el nivel nacional o territorial de las respectivas entidades concurrentes."</w:t>
      </w:r>
    </w:p>
    <w:p w14:paraId="58B520B4" w14:textId="77777777" w:rsidR="00264692" w:rsidRDefault="00264692" w:rsidP="00264692">
      <w:pPr>
        <w:pStyle w:val="Default"/>
        <w:jc w:val="both"/>
        <w:rPr>
          <w:sz w:val="22"/>
          <w:szCs w:val="22"/>
        </w:rPr>
      </w:pPr>
    </w:p>
    <w:p w14:paraId="4A4D145A" w14:textId="50823582" w:rsidR="00FA28B8" w:rsidRPr="00431291" w:rsidRDefault="00FA28B8" w:rsidP="00FA28B8">
      <w:pPr>
        <w:pStyle w:val="Textoindependiente"/>
        <w:rPr>
          <w:rFonts w:cs="Arial"/>
          <w:color w:val="000000"/>
          <w:sz w:val="22"/>
          <w:szCs w:val="22"/>
        </w:rPr>
      </w:pPr>
      <w:r>
        <w:rPr>
          <w:sz w:val="22"/>
          <w:szCs w:val="22"/>
        </w:rPr>
        <w:t xml:space="preserve">Por su parte, el </w:t>
      </w:r>
      <w:r w:rsidRPr="00431291">
        <w:rPr>
          <w:rFonts w:cs="Arial"/>
          <w:color w:val="000000"/>
          <w:sz w:val="22"/>
          <w:szCs w:val="22"/>
        </w:rPr>
        <w:t xml:space="preserve">artículo 1 de la Ley 1118 de 2006 dispone que Ecopetrol S.A. podrá establecer subsidiarias, sucursales y agencias en el territorio nacional y en el exterior. </w:t>
      </w:r>
    </w:p>
    <w:p w14:paraId="663B5ABC" w14:textId="0E14D43D" w:rsidR="00FA28B8" w:rsidRPr="00431291" w:rsidRDefault="00FA28B8" w:rsidP="00264692">
      <w:pPr>
        <w:pStyle w:val="Default"/>
        <w:jc w:val="both"/>
        <w:rPr>
          <w:sz w:val="22"/>
          <w:szCs w:val="22"/>
        </w:rPr>
      </w:pPr>
    </w:p>
    <w:p w14:paraId="32F10D02" w14:textId="77777777" w:rsidR="00FB1FA2" w:rsidRPr="00431291" w:rsidRDefault="00FB1FA2" w:rsidP="00FB1FA2">
      <w:pPr>
        <w:autoSpaceDE w:val="0"/>
        <w:autoSpaceDN w:val="0"/>
        <w:adjustRightInd w:val="0"/>
        <w:spacing w:after="0" w:line="240" w:lineRule="auto"/>
        <w:rPr>
          <w:rFonts w:ascii="Arial" w:hAnsi="Arial" w:cs="Arial"/>
          <w:b/>
        </w:rPr>
      </w:pPr>
      <w:r w:rsidRPr="00431291">
        <w:rPr>
          <w:rFonts w:ascii="Arial" w:hAnsi="Arial" w:cs="Arial"/>
          <w:b/>
        </w:rPr>
        <w:t>3.2. La vigencia de la ley o norma reglamentada o desarrollada</w:t>
      </w:r>
    </w:p>
    <w:p w14:paraId="648CDEF7" w14:textId="77777777" w:rsidR="00FB1FA2" w:rsidRDefault="00FB1FA2" w:rsidP="00FB1FA2">
      <w:pPr>
        <w:autoSpaceDE w:val="0"/>
        <w:autoSpaceDN w:val="0"/>
        <w:adjustRightInd w:val="0"/>
        <w:spacing w:after="0" w:line="240" w:lineRule="auto"/>
        <w:jc w:val="both"/>
        <w:rPr>
          <w:rFonts w:ascii="Arial" w:hAnsi="Arial" w:cs="Arial"/>
        </w:rPr>
      </w:pPr>
    </w:p>
    <w:p w14:paraId="06EC6372" w14:textId="318DAD3F" w:rsidR="00593B09" w:rsidRDefault="00593B09" w:rsidP="00FB1FA2">
      <w:pPr>
        <w:autoSpaceDE w:val="0"/>
        <w:autoSpaceDN w:val="0"/>
        <w:adjustRightInd w:val="0"/>
        <w:spacing w:after="0" w:line="240" w:lineRule="auto"/>
        <w:jc w:val="both"/>
        <w:rPr>
          <w:rFonts w:ascii="Arial" w:hAnsi="Arial" w:cs="Arial"/>
        </w:rPr>
      </w:pPr>
      <w:r>
        <w:rPr>
          <w:rFonts w:ascii="Arial" w:hAnsi="Arial" w:cs="Arial"/>
        </w:rPr>
        <w:t xml:space="preserve">El parágrafo del artículo 49 de la Ley 489 de 1998 se encuentra vigente.  La citada Ley fue publicada en el Diario Oficial </w:t>
      </w:r>
      <w:r w:rsidR="00AE4C6A">
        <w:rPr>
          <w:rFonts w:ascii="Arial" w:hAnsi="Arial" w:cs="Arial"/>
        </w:rPr>
        <w:t>43.464 del 30 de diciembre de 1998.</w:t>
      </w:r>
    </w:p>
    <w:p w14:paraId="233C09BA" w14:textId="77777777" w:rsidR="00AE4C6A" w:rsidRDefault="00AE4C6A" w:rsidP="00FB1FA2">
      <w:pPr>
        <w:autoSpaceDE w:val="0"/>
        <w:autoSpaceDN w:val="0"/>
        <w:adjustRightInd w:val="0"/>
        <w:spacing w:after="0" w:line="240" w:lineRule="auto"/>
        <w:jc w:val="both"/>
        <w:rPr>
          <w:rFonts w:ascii="Arial" w:hAnsi="Arial" w:cs="Arial"/>
        </w:rPr>
      </w:pPr>
    </w:p>
    <w:p w14:paraId="514DF51E" w14:textId="0614EFAB" w:rsidR="00AE4C6A" w:rsidRPr="00431291" w:rsidRDefault="00AE4C6A" w:rsidP="00FB1FA2">
      <w:pPr>
        <w:autoSpaceDE w:val="0"/>
        <w:autoSpaceDN w:val="0"/>
        <w:adjustRightInd w:val="0"/>
        <w:spacing w:after="0" w:line="240" w:lineRule="auto"/>
        <w:jc w:val="both"/>
        <w:rPr>
          <w:rFonts w:ascii="Arial" w:hAnsi="Arial" w:cs="Arial"/>
        </w:rPr>
      </w:pPr>
      <w:r>
        <w:rPr>
          <w:rFonts w:ascii="Arial" w:hAnsi="Arial" w:cs="Arial"/>
        </w:rPr>
        <w:t>El artículo 1 de la Ley 1118 de 2006 se encuentra vigente.  La citada Ley fue publicada en el Diario Oficial 46.494 del 27 de diciembre de 2006.</w:t>
      </w:r>
    </w:p>
    <w:p w14:paraId="103A0089" w14:textId="77777777" w:rsidR="00FB1FA2" w:rsidRPr="00431291" w:rsidRDefault="00FB1FA2" w:rsidP="00FB1FA2">
      <w:pPr>
        <w:autoSpaceDE w:val="0"/>
        <w:autoSpaceDN w:val="0"/>
        <w:adjustRightInd w:val="0"/>
        <w:spacing w:after="0" w:line="240" w:lineRule="auto"/>
        <w:jc w:val="both"/>
        <w:rPr>
          <w:rFonts w:ascii="Arial" w:hAnsi="Arial" w:cs="Arial"/>
          <w:b/>
          <w:highlight w:val="yellow"/>
        </w:rPr>
      </w:pPr>
    </w:p>
    <w:p w14:paraId="1C332F1C" w14:textId="77777777" w:rsidR="00FB1FA2" w:rsidRPr="00431291" w:rsidRDefault="00FB1FA2" w:rsidP="00FB1FA2">
      <w:pPr>
        <w:autoSpaceDE w:val="0"/>
        <w:autoSpaceDN w:val="0"/>
        <w:adjustRightInd w:val="0"/>
        <w:spacing w:after="0" w:line="240" w:lineRule="auto"/>
        <w:jc w:val="both"/>
        <w:rPr>
          <w:rFonts w:ascii="Arial" w:hAnsi="Arial" w:cs="Arial"/>
          <w:b/>
        </w:rPr>
      </w:pPr>
      <w:r w:rsidRPr="00431291">
        <w:rPr>
          <w:rFonts w:ascii="Arial" w:hAnsi="Arial" w:cs="Arial"/>
          <w:b/>
        </w:rPr>
        <w:t>3.3. Disposiciones derogadas, subrogadas, modificadas, adicionadas o sustituidas, si alguno de estos efectos se produce con la expedición del respectivo acto</w:t>
      </w:r>
    </w:p>
    <w:p w14:paraId="72A30682" w14:textId="77777777" w:rsidR="00FB1FA2" w:rsidRPr="00431291" w:rsidRDefault="00FB1FA2" w:rsidP="00FB1FA2">
      <w:pPr>
        <w:spacing w:after="0" w:line="240" w:lineRule="auto"/>
        <w:jc w:val="both"/>
        <w:rPr>
          <w:rFonts w:ascii="Arial" w:hAnsi="Arial" w:cs="Arial"/>
        </w:rPr>
      </w:pPr>
    </w:p>
    <w:p w14:paraId="733D920C" w14:textId="700C478D" w:rsidR="00FB1FA2" w:rsidRPr="00431291" w:rsidRDefault="00AE4C6A" w:rsidP="00FB1FA2">
      <w:pPr>
        <w:spacing w:after="0" w:line="240" w:lineRule="auto"/>
        <w:jc w:val="both"/>
        <w:rPr>
          <w:rFonts w:ascii="Arial" w:eastAsia="Times New Roman" w:hAnsi="Arial" w:cs="Arial"/>
          <w:color w:val="222222"/>
          <w:lang w:eastAsia="es-CO"/>
        </w:rPr>
      </w:pPr>
      <w:r>
        <w:rPr>
          <w:rFonts w:ascii="Arial" w:hAnsi="Arial" w:cs="Arial"/>
        </w:rPr>
        <w:t xml:space="preserve">El </w:t>
      </w:r>
      <w:r w:rsidR="00FB1FA2" w:rsidRPr="00431291">
        <w:rPr>
          <w:rFonts w:ascii="Arial" w:hAnsi="Arial" w:cs="Arial"/>
        </w:rPr>
        <w:t xml:space="preserve">proyecto </w:t>
      </w:r>
      <w:r>
        <w:rPr>
          <w:rFonts w:ascii="Arial" w:hAnsi="Arial" w:cs="Arial"/>
        </w:rPr>
        <w:t xml:space="preserve">normativo no </w:t>
      </w:r>
      <w:r w:rsidR="00FB1FA2" w:rsidRPr="00431291">
        <w:rPr>
          <w:rFonts w:ascii="Arial" w:hAnsi="Arial" w:cs="Arial"/>
        </w:rPr>
        <w:t>deroga, subroga, modifica, adiciona o sustituye norma alguna del régimen jurídico colombiano.</w:t>
      </w:r>
    </w:p>
    <w:p w14:paraId="1C18DB0F" w14:textId="77777777" w:rsidR="00FB1FA2" w:rsidRPr="00431291" w:rsidRDefault="00FB1FA2" w:rsidP="00FB1FA2">
      <w:pPr>
        <w:spacing w:after="0" w:line="240" w:lineRule="auto"/>
        <w:jc w:val="both"/>
        <w:rPr>
          <w:rFonts w:ascii="Arial" w:eastAsia="Times New Roman" w:hAnsi="Arial" w:cs="Arial"/>
          <w:color w:val="222222"/>
          <w:lang w:eastAsia="es-CO"/>
        </w:rPr>
      </w:pPr>
    </w:p>
    <w:p w14:paraId="00989C4E" w14:textId="77777777" w:rsidR="00FB1FA2" w:rsidRPr="00431291" w:rsidRDefault="00FB1FA2" w:rsidP="00FB1FA2">
      <w:pPr>
        <w:spacing w:after="0" w:line="240" w:lineRule="auto"/>
        <w:jc w:val="both"/>
        <w:rPr>
          <w:rFonts w:ascii="Arial" w:hAnsi="Arial" w:cs="Arial"/>
          <w:b/>
        </w:rPr>
      </w:pPr>
      <w:r w:rsidRPr="00431291">
        <w:rPr>
          <w:rFonts w:ascii="Arial" w:eastAsia="Times New Roman" w:hAnsi="Arial" w:cs="Arial"/>
          <w:b/>
          <w:color w:val="222222"/>
          <w:lang w:eastAsia="es-CO"/>
        </w:rPr>
        <w:t>3.4.  Revisión y análisis de las decisiones judiciales de los órganos de cierre de cada jurisdicción que pudieran tener impacto o ser relevantes para la expedición del acto</w:t>
      </w:r>
    </w:p>
    <w:p w14:paraId="79B1053E" w14:textId="77777777" w:rsidR="00FB1FA2" w:rsidRPr="00431291" w:rsidRDefault="00FB1FA2" w:rsidP="00FB1FA2">
      <w:pPr>
        <w:spacing w:after="0" w:line="240" w:lineRule="auto"/>
        <w:jc w:val="both"/>
        <w:rPr>
          <w:rFonts w:ascii="Arial" w:hAnsi="Arial" w:cs="Arial"/>
        </w:rPr>
      </w:pPr>
    </w:p>
    <w:p w14:paraId="17232279" w14:textId="77777777" w:rsidR="00FB1FA2" w:rsidRPr="00431291" w:rsidRDefault="00FB1FA2" w:rsidP="00FB1FA2">
      <w:pPr>
        <w:spacing w:after="0" w:line="240" w:lineRule="auto"/>
        <w:jc w:val="both"/>
        <w:rPr>
          <w:rFonts w:ascii="Arial" w:eastAsia="Times New Roman" w:hAnsi="Arial" w:cs="Arial"/>
          <w:color w:val="222222"/>
          <w:lang w:eastAsia="es-CO"/>
        </w:rPr>
      </w:pPr>
      <w:commentRangeStart w:id="1"/>
      <w:r w:rsidRPr="00431291">
        <w:rPr>
          <w:rFonts w:ascii="Arial" w:eastAsia="Times New Roman" w:hAnsi="Arial" w:cs="Arial"/>
          <w:color w:val="222222"/>
          <w:lang w:eastAsia="es-CO"/>
        </w:rPr>
        <w:t>De conformidad con la revisión llevada a cabo por el Coordinador del Grupo de Defensa Judicial de la Oficina Asesora Jurídica, no existen decisiones judiciales que generen impacto en la expedición del presente acto administrativo.</w:t>
      </w:r>
      <w:commentRangeEnd w:id="1"/>
      <w:r w:rsidR="00E81E69">
        <w:rPr>
          <w:rStyle w:val="Refdecomentario"/>
        </w:rPr>
        <w:commentReference w:id="1"/>
      </w:r>
    </w:p>
    <w:p w14:paraId="39EE4038" w14:textId="77777777" w:rsidR="00FB1FA2" w:rsidRPr="00431291" w:rsidRDefault="00FB1FA2" w:rsidP="00FB1FA2">
      <w:pPr>
        <w:spacing w:after="0" w:line="240" w:lineRule="auto"/>
        <w:jc w:val="both"/>
        <w:rPr>
          <w:rFonts w:ascii="Arial" w:hAnsi="Arial" w:cs="Arial"/>
        </w:rPr>
      </w:pPr>
    </w:p>
    <w:p w14:paraId="374A6589" w14:textId="77777777" w:rsidR="00FB1FA2" w:rsidRPr="00431291" w:rsidRDefault="00FB1FA2" w:rsidP="00FB1FA2">
      <w:pPr>
        <w:numPr>
          <w:ilvl w:val="0"/>
          <w:numId w:val="5"/>
        </w:numPr>
        <w:spacing w:after="0" w:line="240" w:lineRule="auto"/>
        <w:jc w:val="both"/>
        <w:rPr>
          <w:rFonts w:ascii="Arial" w:hAnsi="Arial" w:cs="Arial"/>
          <w:b/>
        </w:rPr>
      </w:pPr>
      <w:r w:rsidRPr="00431291">
        <w:rPr>
          <w:rFonts w:ascii="Arial" w:hAnsi="Arial" w:cs="Arial"/>
          <w:b/>
        </w:rPr>
        <w:t>IMPACTO ECONÓMICO</w:t>
      </w:r>
    </w:p>
    <w:p w14:paraId="3C260E30" w14:textId="77777777" w:rsidR="00FB1FA2" w:rsidRPr="00431291" w:rsidRDefault="00FB1FA2" w:rsidP="00FB1FA2">
      <w:pPr>
        <w:pStyle w:val="Textoindependiente"/>
        <w:jc w:val="left"/>
        <w:rPr>
          <w:rFonts w:cs="Arial"/>
          <w:color w:val="000000"/>
          <w:sz w:val="22"/>
          <w:szCs w:val="22"/>
          <w:lang w:val="es-ES" w:eastAsia="es-CO"/>
        </w:rPr>
      </w:pPr>
    </w:p>
    <w:p w14:paraId="26FA471E" w14:textId="77777777" w:rsidR="00E81E69" w:rsidRPr="00B178CA" w:rsidRDefault="00E81E69" w:rsidP="00E81E69">
      <w:pPr>
        <w:spacing w:after="0" w:line="240" w:lineRule="auto"/>
        <w:jc w:val="both"/>
        <w:rPr>
          <w:rFonts w:ascii="Arial" w:eastAsia="Times New Roman" w:hAnsi="Arial" w:cs="Arial"/>
          <w:color w:val="000000"/>
          <w:lang w:eastAsia="es-CO"/>
        </w:rPr>
      </w:pPr>
      <w:r w:rsidRPr="00B178CA">
        <w:rPr>
          <w:rFonts w:ascii="Arial" w:eastAsia="Times New Roman" w:hAnsi="Arial" w:cs="Arial"/>
          <w:color w:val="000000"/>
          <w:lang w:eastAsia="es-CO"/>
        </w:rPr>
        <w:t>Como mencionamos en el acápite de antecedentes, oportunidad y conveniencia, l</w:t>
      </w:r>
      <w:r w:rsidRPr="00E81E69">
        <w:rPr>
          <w:rFonts w:ascii="Arial" w:eastAsia="Times New Roman" w:hAnsi="Arial" w:cs="Arial"/>
          <w:color w:val="000000"/>
          <w:lang w:eastAsia="es-CO"/>
        </w:rPr>
        <w:t xml:space="preserve">a gestión energética del Grupo Empresarial por medio de la comercialización directa de energía generaría aproximadamente un VPN@2017 esperado de 344 MMCOP a través de: </w:t>
      </w:r>
    </w:p>
    <w:p w14:paraId="1E312792" w14:textId="77777777" w:rsidR="0032390A" w:rsidRDefault="0032390A" w:rsidP="0032390A">
      <w:pPr>
        <w:spacing w:after="0" w:line="240" w:lineRule="auto"/>
        <w:jc w:val="both"/>
        <w:rPr>
          <w:rFonts w:eastAsia="Times New Roman" w:cs="Arial"/>
          <w:color w:val="000000"/>
          <w:lang w:eastAsia="es-CO"/>
        </w:rPr>
      </w:pPr>
    </w:p>
    <w:p w14:paraId="52FEB5C1" w14:textId="14087C29" w:rsidR="0032390A" w:rsidRPr="0032390A" w:rsidRDefault="0032390A" w:rsidP="0032390A">
      <w:pPr>
        <w:pStyle w:val="Prrafodelista"/>
        <w:numPr>
          <w:ilvl w:val="0"/>
          <w:numId w:val="10"/>
        </w:numPr>
        <w:spacing w:after="0" w:line="240" w:lineRule="auto"/>
        <w:jc w:val="both"/>
        <w:rPr>
          <w:rFonts w:eastAsia="Times New Roman" w:cs="Arial"/>
          <w:color w:val="000000"/>
          <w:lang w:eastAsia="es-CO"/>
        </w:rPr>
      </w:pPr>
      <w:r w:rsidRPr="0032390A">
        <w:rPr>
          <w:rFonts w:eastAsia="Times New Roman" w:cs="Arial"/>
          <w:color w:val="000000"/>
          <w:lang w:eastAsia="es-CO"/>
        </w:rPr>
        <w:t xml:space="preserve">La reducción del </w:t>
      </w:r>
      <w:r w:rsidR="00E81E69" w:rsidRPr="0032390A">
        <w:rPr>
          <w:rFonts w:eastAsia="Times New Roman" w:cs="Arial"/>
          <w:color w:val="000000"/>
          <w:lang w:eastAsia="es-CO"/>
        </w:rPr>
        <w:t>el costo de energía del Grupo Empresarial, con un VPN@2017  asociado al ahorro de 186 MMCOP.</w:t>
      </w:r>
    </w:p>
    <w:p w14:paraId="6A1DAB5D" w14:textId="338334AA" w:rsidR="00E81E69" w:rsidRPr="0032390A" w:rsidRDefault="0032390A" w:rsidP="0032390A">
      <w:pPr>
        <w:pStyle w:val="Prrafodelista"/>
        <w:numPr>
          <w:ilvl w:val="0"/>
          <w:numId w:val="10"/>
        </w:numPr>
        <w:spacing w:after="0" w:line="240" w:lineRule="auto"/>
        <w:jc w:val="both"/>
        <w:rPr>
          <w:rFonts w:eastAsia="Times New Roman" w:cs="Arial"/>
          <w:color w:val="000000"/>
          <w:lang w:eastAsia="es-CO"/>
        </w:rPr>
      </w:pPr>
      <w:r w:rsidRPr="0032390A">
        <w:rPr>
          <w:rFonts w:eastAsia="Times New Roman" w:cs="Arial"/>
          <w:color w:val="000000"/>
          <w:lang w:eastAsia="es-CO"/>
        </w:rPr>
        <w:t xml:space="preserve">El desarrollo de </w:t>
      </w:r>
      <w:r w:rsidR="00E81E69" w:rsidRPr="0032390A">
        <w:rPr>
          <w:rFonts w:eastAsia="Times New Roman" w:cs="Arial"/>
          <w:color w:val="000000"/>
          <w:lang w:eastAsia="es-CO"/>
        </w:rPr>
        <w:t>un negocio con un VPN@2017 de 158 MMCOP por la comercialización de energía requerida para la operación.</w:t>
      </w:r>
    </w:p>
    <w:p w14:paraId="194E8410" w14:textId="77777777" w:rsidR="00E81E69" w:rsidRPr="00B178CA" w:rsidRDefault="00E81E69" w:rsidP="00FB1FA2">
      <w:pPr>
        <w:pStyle w:val="Default"/>
        <w:jc w:val="both"/>
        <w:rPr>
          <w:sz w:val="22"/>
          <w:szCs w:val="22"/>
          <w:lang w:val="es-ES"/>
        </w:rPr>
      </w:pPr>
    </w:p>
    <w:p w14:paraId="20832277" w14:textId="59372C16" w:rsidR="00FB1FA2" w:rsidRPr="00431291" w:rsidRDefault="00FB1FA2" w:rsidP="00FB1FA2">
      <w:pPr>
        <w:pStyle w:val="Textoindependiente"/>
        <w:numPr>
          <w:ilvl w:val="0"/>
          <w:numId w:val="5"/>
        </w:numPr>
        <w:jc w:val="left"/>
        <w:rPr>
          <w:rFonts w:cs="Arial"/>
          <w:b/>
          <w:sz w:val="22"/>
          <w:szCs w:val="22"/>
          <w:lang w:val="es-CO"/>
        </w:rPr>
      </w:pPr>
      <w:r w:rsidRPr="00431291">
        <w:rPr>
          <w:rFonts w:cs="Arial"/>
          <w:b/>
          <w:sz w:val="22"/>
          <w:szCs w:val="22"/>
          <w:lang w:val="es-CO"/>
        </w:rPr>
        <w:t>DISPONIBILIDAD PRESUPUESTAL</w:t>
      </w:r>
    </w:p>
    <w:p w14:paraId="61CDEACC" w14:textId="77777777" w:rsidR="00FB1FA2" w:rsidRPr="00431291" w:rsidRDefault="00FB1FA2" w:rsidP="00FB1FA2">
      <w:pPr>
        <w:pStyle w:val="Textoindependiente"/>
        <w:jc w:val="left"/>
        <w:rPr>
          <w:rFonts w:cs="Arial"/>
          <w:sz w:val="22"/>
          <w:szCs w:val="22"/>
          <w:lang w:val="es-CO"/>
        </w:rPr>
      </w:pPr>
    </w:p>
    <w:p w14:paraId="34A3347D" w14:textId="77777777" w:rsidR="00E81E69" w:rsidRDefault="00FB1FA2" w:rsidP="00FB1FA2">
      <w:pPr>
        <w:pStyle w:val="Textoindependiente"/>
        <w:rPr>
          <w:rFonts w:cs="Arial"/>
          <w:sz w:val="22"/>
          <w:szCs w:val="22"/>
          <w:lang w:val="es-CO"/>
        </w:rPr>
      </w:pPr>
      <w:r w:rsidRPr="00431291">
        <w:rPr>
          <w:rFonts w:cs="Arial"/>
          <w:sz w:val="22"/>
          <w:szCs w:val="22"/>
          <w:lang w:val="es-CO"/>
        </w:rPr>
        <w:t xml:space="preserve">No aplica, en razón a que no genera ningún costo para </w:t>
      </w:r>
      <w:r w:rsidR="00E81E69">
        <w:rPr>
          <w:rFonts w:cs="Arial"/>
          <w:sz w:val="22"/>
          <w:szCs w:val="22"/>
          <w:lang w:val="es-CO"/>
        </w:rPr>
        <w:t>el Gobierno Nacional.</w:t>
      </w:r>
    </w:p>
    <w:p w14:paraId="549ADA2E" w14:textId="77777777" w:rsidR="00FB1FA2" w:rsidRPr="00431291" w:rsidRDefault="00FB1FA2" w:rsidP="00FB1FA2">
      <w:pPr>
        <w:pStyle w:val="Textoindependiente"/>
        <w:rPr>
          <w:rFonts w:cs="Arial"/>
          <w:sz w:val="22"/>
          <w:szCs w:val="22"/>
          <w:lang w:val="es-CO"/>
        </w:rPr>
      </w:pPr>
    </w:p>
    <w:p w14:paraId="449C1352" w14:textId="77777777" w:rsidR="00FB1FA2" w:rsidRPr="00431291" w:rsidRDefault="00FB1FA2" w:rsidP="00FB1FA2">
      <w:pPr>
        <w:pStyle w:val="Textoindependiente"/>
        <w:numPr>
          <w:ilvl w:val="0"/>
          <w:numId w:val="5"/>
        </w:numPr>
        <w:jc w:val="left"/>
        <w:rPr>
          <w:rFonts w:cs="Arial"/>
          <w:b/>
          <w:sz w:val="22"/>
          <w:szCs w:val="22"/>
          <w:lang w:val="es-CO"/>
        </w:rPr>
      </w:pPr>
      <w:r w:rsidRPr="00431291">
        <w:rPr>
          <w:rFonts w:cs="Arial"/>
          <w:b/>
          <w:sz w:val="22"/>
          <w:szCs w:val="22"/>
          <w:lang w:val="es-CO"/>
        </w:rPr>
        <w:t>IMPACTO MEDIO AMBIENTAL O SOBRE EL PATRIMONIO CULTURAL</w:t>
      </w:r>
    </w:p>
    <w:p w14:paraId="329DFC78" w14:textId="77777777" w:rsidR="00FB1FA2" w:rsidRPr="00431291" w:rsidRDefault="00FB1FA2" w:rsidP="00FB1FA2">
      <w:pPr>
        <w:pStyle w:val="Textoindependiente"/>
        <w:jc w:val="left"/>
        <w:rPr>
          <w:rFonts w:cs="Arial"/>
          <w:b/>
          <w:sz w:val="22"/>
          <w:szCs w:val="22"/>
          <w:lang w:val="es-CO"/>
        </w:rPr>
      </w:pPr>
    </w:p>
    <w:p w14:paraId="63944F66" w14:textId="77777777" w:rsidR="00E81E69" w:rsidRDefault="00E81E69" w:rsidP="00FB1FA2">
      <w:pPr>
        <w:pStyle w:val="Textoindependiente"/>
        <w:rPr>
          <w:rFonts w:cs="Arial"/>
          <w:sz w:val="22"/>
          <w:szCs w:val="22"/>
          <w:lang w:val="es-CO"/>
        </w:rPr>
      </w:pPr>
      <w:r>
        <w:rPr>
          <w:rFonts w:cs="Arial"/>
          <w:sz w:val="22"/>
          <w:szCs w:val="22"/>
          <w:lang w:val="es-CO"/>
        </w:rPr>
        <w:t>No aplica, en razón al objeto del proyecto normativo.</w:t>
      </w:r>
    </w:p>
    <w:p w14:paraId="706B829B" w14:textId="77777777" w:rsidR="00FB1FA2" w:rsidRPr="00431291" w:rsidRDefault="00FB1FA2" w:rsidP="00FB1FA2">
      <w:pPr>
        <w:spacing w:after="0" w:line="240" w:lineRule="auto"/>
        <w:ind w:left="360"/>
        <w:rPr>
          <w:rFonts w:ascii="Arial" w:hAnsi="Arial" w:cs="Arial"/>
          <w:b/>
        </w:rPr>
      </w:pPr>
    </w:p>
    <w:p w14:paraId="677E6EAA" w14:textId="77777777" w:rsidR="00FB1FA2" w:rsidRPr="00431291" w:rsidRDefault="00FB1FA2" w:rsidP="00FB1FA2">
      <w:pPr>
        <w:pStyle w:val="Textoindependiente"/>
        <w:numPr>
          <w:ilvl w:val="0"/>
          <w:numId w:val="5"/>
        </w:numPr>
        <w:jc w:val="left"/>
        <w:rPr>
          <w:rFonts w:cs="Arial"/>
          <w:b/>
          <w:sz w:val="22"/>
          <w:szCs w:val="22"/>
          <w:lang w:val="es-CO"/>
        </w:rPr>
      </w:pPr>
      <w:r w:rsidRPr="00431291">
        <w:rPr>
          <w:rFonts w:cs="Arial"/>
          <w:b/>
          <w:sz w:val="22"/>
          <w:szCs w:val="22"/>
          <w:lang w:val="es-CO"/>
        </w:rPr>
        <w:t>CONSULTA</w:t>
      </w:r>
    </w:p>
    <w:p w14:paraId="7868616C" w14:textId="77777777" w:rsidR="00FB1FA2" w:rsidRPr="00431291" w:rsidRDefault="00FB1FA2" w:rsidP="00FB1FA2">
      <w:pPr>
        <w:pStyle w:val="Textoindependiente"/>
        <w:jc w:val="left"/>
        <w:rPr>
          <w:rFonts w:cs="Arial"/>
          <w:b/>
          <w:sz w:val="22"/>
          <w:szCs w:val="22"/>
          <w:lang w:val="es-CO"/>
        </w:rPr>
      </w:pPr>
    </w:p>
    <w:p w14:paraId="576E5B21" w14:textId="524ABA8D" w:rsidR="00FB1FA2" w:rsidRPr="00431291" w:rsidRDefault="00FB1FA2" w:rsidP="00FB1FA2">
      <w:pPr>
        <w:pStyle w:val="Textoindependiente"/>
        <w:rPr>
          <w:rFonts w:cs="Arial"/>
          <w:sz w:val="22"/>
          <w:szCs w:val="22"/>
          <w:lang w:val="es-CO"/>
        </w:rPr>
      </w:pPr>
      <w:r w:rsidRPr="00431291">
        <w:rPr>
          <w:rFonts w:cs="Arial"/>
          <w:sz w:val="22"/>
          <w:szCs w:val="22"/>
          <w:lang w:val="es-CO"/>
        </w:rPr>
        <w:t xml:space="preserve">No aplica por cuanto el acto administrativo no genera incidencia </w:t>
      </w:r>
      <w:r w:rsidR="0032390A">
        <w:rPr>
          <w:rFonts w:cs="Arial"/>
          <w:sz w:val="22"/>
          <w:szCs w:val="22"/>
          <w:lang w:val="es-CO"/>
        </w:rPr>
        <w:t xml:space="preserve">alguna </w:t>
      </w:r>
      <w:r w:rsidRPr="00431291">
        <w:rPr>
          <w:rFonts w:cs="Arial"/>
          <w:sz w:val="22"/>
          <w:szCs w:val="22"/>
          <w:lang w:val="es-CO"/>
        </w:rPr>
        <w:t xml:space="preserve">para las comunidades indígenas ni minorías reconocidas constitucional y legalmente. </w:t>
      </w:r>
    </w:p>
    <w:p w14:paraId="179CD412" w14:textId="77777777" w:rsidR="00FB1FA2" w:rsidRPr="00431291" w:rsidRDefault="00FB1FA2" w:rsidP="00FB1FA2">
      <w:pPr>
        <w:pStyle w:val="Textoindependiente"/>
        <w:jc w:val="left"/>
        <w:rPr>
          <w:rFonts w:cs="Arial"/>
          <w:b/>
          <w:sz w:val="22"/>
          <w:szCs w:val="22"/>
          <w:lang w:val="es-CO"/>
        </w:rPr>
      </w:pPr>
    </w:p>
    <w:p w14:paraId="76807AF2" w14:textId="77777777" w:rsidR="00FB1FA2" w:rsidRPr="00431291" w:rsidRDefault="00FB1FA2" w:rsidP="00FB1FA2">
      <w:pPr>
        <w:numPr>
          <w:ilvl w:val="0"/>
          <w:numId w:val="5"/>
        </w:numPr>
        <w:spacing w:after="0" w:line="240" w:lineRule="auto"/>
        <w:jc w:val="both"/>
        <w:rPr>
          <w:rFonts w:ascii="Arial" w:hAnsi="Arial" w:cs="Arial"/>
          <w:b/>
        </w:rPr>
      </w:pPr>
      <w:r w:rsidRPr="00431291">
        <w:rPr>
          <w:rFonts w:ascii="Arial" w:hAnsi="Arial" w:cs="Arial"/>
          <w:b/>
        </w:rPr>
        <w:t>PUBLICIDAD</w:t>
      </w:r>
    </w:p>
    <w:p w14:paraId="39F98FE6" w14:textId="77777777" w:rsidR="00FB1FA2" w:rsidRPr="00431291" w:rsidRDefault="00FB1FA2" w:rsidP="00FB1FA2">
      <w:pPr>
        <w:spacing w:after="0" w:line="240" w:lineRule="auto"/>
        <w:jc w:val="both"/>
        <w:rPr>
          <w:rFonts w:ascii="Arial" w:hAnsi="Arial" w:cs="Arial"/>
          <w:color w:val="000000"/>
        </w:rPr>
      </w:pPr>
    </w:p>
    <w:p w14:paraId="3612394E" w14:textId="169E94B3" w:rsidR="00FB1FA2" w:rsidRPr="00431291" w:rsidRDefault="00FB1FA2" w:rsidP="00FB1FA2">
      <w:pPr>
        <w:spacing w:after="0" w:line="240" w:lineRule="auto"/>
        <w:jc w:val="both"/>
        <w:rPr>
          <w:rFonts w:ascii="Arial" w:hAnsi="Arial" w:cs="Arial"/>
        </w:rPr>
      </w:pPr>
      <w:r w:rsidRPr="00431291">
        <w:rPr>
          <w:rFonts w:ascii="Arial" w:hAnsi="Arial" w:cs="Arial"/>
        </w:rPr>
        <w:t>E</w:t>
      </w:r>
      <w:r w:rsidRPr="00431291">
        <w:rPr>
          <w:rFonts w:ascii="Arial" w:hAnsi="Arial" w:cs="Arial"/>
          <w:color w:val="000000"/>
        </w:rPr>
        <w:t xml:space="preserve">n cumplimiento a lo dispuesto en el numeral 8 del artículo 8 de la Ley 1437 de 2011, y en concordancia con lo previsto en el </w:t>
      </w:r>
      <w:r w:rsidR="00E81E69">
        <w:rPr>
          <w:rFonts w:ascii="Arial" w:hAnsi="Arial" w:cs="Arial"/>
          <w:color w:val="000000"/>
        </w:rPr>
        <w:t>Decreto 270 de 2017</w:t>
      </w:r>
      <w:r w:rsidRPr="00431291">
        <w:rPr>
          <w:rFonts w:ascii="Arial" w:hAnsi="Arial" w:cs="Arial"/>
          <w:color w:val="000000"/>
        </w:rPr>
        <w:t xml:space="preserve">, el </w:t>
      </w:r>
      <w:r w:rsidR="00E81E69">
        <w:rPr>
          <w:rFonts w:ascii="Arial" w:hAnsi="Arial" w:cs="Arial"/>
          <w:color w:val="000000"/>
        </w:rPr>
        <w:t xml:space="preserve">proyecto normativo se </w:t>
      </w:r>
      <w:r w:rsidRPr="00431291">
        <w:rPr>
          <w:rFonts w:ascii="Arial" w:hAnsi="Arial" w:cs="Arial"/>
          <w:color w:val="000000"/>
        </w:rPr>
        <w:t xml:space="preserve">publicó en la página web del Ministerio de Minas y Energía para comentarios del público entre el </w:t>
      </w:r>
      <w:r w:rsidR="00E81E69">
        <w:rPr>
          <w:rFonts w:ascii="Arial" w:hAnsi="Arial" w:cs="Arial"/>
          <w:color w:val="000000"/>
        </w:rPr>
        <w:t xml:space="preserve">xx </w:t>
      </w:r>
      <w:r w:rsidRPr="00431291">
        <w:rPr>
          <w:rFonts w:ascii="Arial" w:hAnsi="Arial" w:cs="Arial"/>
          <w:color w:val="000000"/>
        </w:rPr>
        <w:t xml:space="preserve">de </w:t>
      </w:r>
      <w:proofErr w:type="spellStart"/>
      <w:r w:rsidR="00E81E69">
        <w:rPr>
          <w:rFonts w:ascii="Arial" w:hAnsi="Arial" w:cs="Arial"/>
          <w:color w:val="000000"/>
        </w:rPr>
        <w:t>xxxx</w:t>
      </w:r>
      <w:proofErr w:type="spellEnd"/>
      <w:r w:rsidR="00E81E69">
        <w:rPr>
          <w:rFonts w:ascii="Arial" w:hAnsi="Arial" w:cs="Arial"/>
          <w:color w:val="000000"/>
        </w:rPr>
        <w:t xml:space="preserve"> </w:t>
      </w:r>
      <w:r w:rsidRPr="00431291">
        <w:rPr>
          <w:rFonts w:ascii="Arial" w:hAnsi="Arial" w:cs="Arial"/>
          <w:color w:val="000000"/>
        </w:rPr>
        <w:t xml:space="preserve">al </w:t>
      </w:r>
      <w:r w:rsidR="00E81E69">
        <w:rPr>
          <w:rFonts w:ascii="Arial" w:hAnsi="Arial" w:cs="Arial"/>
          <w:color w:val="000000"/>
        </w:rPr>
        <w:t>xx</w:t>
      </w:r>
      <w:r w:rsidRPr="00431291">
        <w:rPr>
          <w:rFonts w:ascii="Arial" w:hAnsi="Arial" w:cs="Arial"/>
          <w:color w:val="000000"/>
        </w:rPr>
        <w:t xml:space="preserve"> de </w:t>
      </w:r>
      <w:proofErr w:type="spellStart"/>
      <w:r w:rsidR="00E81E69">
        <w:rPr>
          <w:rFonts w:ascii="Arial" w:hAnsi="Arial" w:cs="Arial"/>
          <w:color w:val="000000"/>
        </w:rPr>
        <w:t>xxxx</w:t>
      </w:r>
      <w:proofErr w:type="spellEnd"/>
      <w:r w:rsidR="00E81E69">
        <w:rPr>
          <w:rFonts w:ascii="Arial" w:hAnsi="Arial" w:cs="Arial"/>
          <w:color w:val="000000"/>
        </w:rPr>
        <w:t xml:space="preserve"> de 2017 y se tuvieron en cuenta las </w:t>
      </w:r>
      <w:r w:rsidRPr="00431291">
        <w:rPr>
          <w:rFonts w:ascii="Arial" w:hAnsi="Arial" w:cs="Arial"/>
          <w:color w:val="000000"/>
        </w:rPr>
        <w:t xml:space="preserve">observaciones y sugerencias </w:t>
      </w:r>
      <w:r w:rsidR="00E81E69">
        <w:rPr>
          <w:rFonts w:ascii="Arial" w:hAnsi="Arial" w:cs="Arial"/>
          <w:color w:val="000000"/>
        </w:rPr>
        <w:t>que resultaron pertinentes</w:t>
      </w:r>
      <w:r w:rsidRPr="00431291">
        <w:rPr>
          <w:rFonts w:ascii="Arial" w:hAnsi="Arial" w:cs="Arial"/>
          <w:color w:val="000000"/>
        </w:rPr>
        <w:t>.</w:t>
      </w:r>
    </w:p>
    <w:p w14:paraId="742D3B80" w14:textId="77777777" w:rsidR="00FB1FA2" w:rsidRPr="00431291" w:rsidRDefault="00FB1FA2" w:rsidP="00FB1FA2">
      <w:pPr>
        <w:spacing w:after="0" w:line="240" w:lineRule="auto"/>
        <w:jc w:val="both"/>
        <w:rPr>
          <w:rFonts w:ascii="Arial" w:hAnsi="Arial" w:cs="Arial"/>
        </w:rPr>
      </w:pPr>
    </w:p>
    <w:p w14:paraId="5D181BA3" w14:textId="77777777" w:rsidR="00FB1FA2" w:rsidRPr="00431291" w:rsidRDefault="00FB1FA2" w:rsidP="00FB1FA2">
      <w:pPr>
        <w:numPr>
          <w:ilvl w:val="0"/>
          <w:numId w:val="5"/>
        </w:numPr>
        <w:spacing w:after="0" w:line="240" w:lineRule="auto"/>
        <w:jc w:val="both"/>
        <w:rPr>
          <w:rFonts w:ascii="Arial" w:hAnsi="Arial" w:cs="Arial"/>
          <w:b/>
        </w:rPr>
      </w:pPr>
      <w:r w:rsidRPr="00431291">
        <w:rPr>
          <w:rFonts w:ascii="Arial" w:hAnsi="Arial" w:cs="Arial"/>
          <w:b/>
        </w:rPr>
        <w:t>CONCEPTO DEL DEPARTAMENTO ADMINISTRATIVO DE LA FUNCIÓN PÚBLICA</w:t>
      </w:r>
    </w:p>
    <w:p w14:paraId="00E9256B" w14:textId="77777777" w:rsidR="00FB1FA2" w:rsidRPr="00431291" w:rsidRDefault="00FB1FA2" w:rsidP="00FB1FA2">
      <w:pPr>
        <w:spacing w:after="0" w:line="240" w:lineRule="auto"/>
        <w:jc w:val="both"/>
        <w:rPr>
          <w:rFonts w:ascii="Arial" w:hAnsi="Arial" w:cs="Arial"/>
        </w:rPr>
      </w:pPr>
    </w:p>
    <w:p w14:paraId="0B4D2E40" w14:textId="32FC1DDA" w:rsidR="00FB1FA2" w:rsidRPr="00431291" w:rsidRDefault="00FB1FA2" w:rsidP="00FB1FA2">
      <w:pPr>
        <w:spacing w:after="0" w:line="240" w:lineRule="auto"/>
        <w:jc w:val="both"/>
        <w:rPr>
          <w:rFonts w:ascii="Arial" w:hAnsi="Arial" w:cs="Arial"/>
        </w:rPr>
      </w:pPr>
      <w:r w:rsidRPr="00431291">
        <w:rPr>
          <w:rFonts w:ascii="Arial" w:hAnsi="Arial" w:cs="Arial"/>
        </w:rPr>
        <w:t>No aplica por cuanto el acto administrativo no establece nuevos trámites como lo dispone el artículo 2.1.2.1.11 del Decreto 1609 de 2015.</w:t>
      </w:r>
    </w:p>
    <w:p w14:paraId="05F7BA0B" w14:textId="77777777" w:rsidR="00FB1FA2" w:rsidRPr="00431291" w:rsidRDefault="00FB1FA2" w:rsidP="00FB1FA2">
      <w:pPr>
        <w:spacing w:after="0" w:line="240" w:lineRule="auto"/>
        <w:jc w:val="both"/>
        <w:rPr>
          <w:rFonts w:ascii="Arial" w:eastAsia="Times New Roman" w:hAnsi="Arial" w:cs="Arial"/>
          <w:lang w:eastAsia="es-ES"/>
        </w:rPr>
      </w:pPr>
    </w:p>
    <w:p w14:paraId="0BA8F657" w14:textId="77777777" w:rsidR="00FB1FA2" w:rsidRPr="00431291" w:rsidRDefault="00FB1FA2" w:rsidP="00FB1FA2">
      <w:pPr>
        <w:pStyle w:val="Prrafodelista"/>
        <w:numPr>
          <w:ilvl w:val="0"/>
          <w:numId w:val="5"/>
        </w:numPr>
        <w:spacing w:before="120" w:after="0" w:line="240" w:lineRule="auto"/>
        <w:contextualSpacing/>
        <w:jc w:val="both"/>
        <w:rPr>
          <w:rFonts w:cs="Arial"/>
          <w:b/>
        </w:rPr>
      </w:pPr>
      <w:commentRangeStart w:id="2"/>
      <w:r w:rsidRPr="00431291">
        <w:rPr>
          <w:rFonts w:cs="Arial"/>
          <w:b/>
        </w:rPr>
        <w:t>MATRIZ RESUMEN OBSERVACIONES Y COMENTARIOS</w:t>
      </w:r>
    </w:p>
    <w:p w14:paraId="6BFF1FE0" w14:textId="77777777" w:rsidR="00FB1FA2" w:rsidRPr="00431291" w:rsidRDefault="00FB1FA2" w:rsidP="00FB1FA2">
      <w:pPr>
        <w:spacing w:after="0" w:line="240" w:lineRule="auto"/>
        <w:jc w:val="both"/>
        <w:rPr>
          <w:rFonts w:ascii="Arial" w:eastAsia="Times New Roman" w:hAnsi="Arial" w:cs="Arial"/>
          <w:lang w:eastAsia="es-ES"/>
        </w:rPr>
      </w:pPr>
    </w:p>
    <w:p w14:paraId="3576BE06" w14:textId="77777777" w:rsidR="00FB1FA2" w:rsidRPr="00431291" w:rsidRDefault="00FB1FA2" w:rsidP="00FB1FA2">
      <w:pPr>
        <w:spacing w:after="0" w:line="240" w:lineRule="auto"/>
        <w:jc w:val="both"/>
        <w:rPr>
          <w:rFonts w:ascii="Arial" w:eastAsia="Times New Roman" w:hAnsi="Arial" w:cs="Arial"/>
          <w:lang w:eastAsia="es-ES"/>
        </w:rPr>
      </w:pPr>
      <w:r w:rsidRPr="00431291">
        <w:rPr>
          <w:rFonts w:ascii="Arial" w:eastAsia="Times New Roman" w:hAnsi="Arial" w:cs="Arial"/>
          <w:lang w:eastAsia="es-ES"/>
        </w:rPr>
        <w:t>La matriz con el resumen de las observaciones y comentarios recibidos sobre el proyecto normativo hacen parte de esta memoria justificativa.</w:t>
      </w:r>
    </w:p>
    <w:p w14:paraId="2764CA84" w14:textId="77777777" w:rsidR="00FB1FA2" w:rsidRPr="00431291" w:rsidRDefault="00FB1FA2" w:rsidP="00FB1FA2">
      <w:pPr>
        <w:spacing w:after="0" w:line="240" w:lineRule="auto"/>
        <w:jc w:val="both"/>
        <w:rPr>
          <w:rFonts w:ascii="Arial" w:eastAsia="Times New Roman" w:hAnsi="Arial" w:cs="Arial"/>
          <w:lang w:eastAsia="es-ES"/>
        </w:rPr>
      </w:pPr>
    </w:p>
    <w:p w14:paraId="60B9F7BA" w14:textId="77777777" w:rsidR="00FB1FA2" w:rsidRPr="00431291" w:rsidRDefault="00FB1FA2" w:rsidP="00FB1FA2">
      <w:pPr>
        <w:pStyle w:val="Prrafodelista"/>
        <w:numPr>
          <w:ilvl w:val="0"/>
          <w:numId w:val="5"/>
        </w:numPr>
        <w:spacing w:before="120" w:after="0" w:line="240" w:lineRule="auto"/>
        <w:contextualSpacing/>
        <w:jc w:val="both"/>
        <w:rPr>
          <w:rFonts w:cs="Arial"/>
          <w:b/>
        </w:rPr>
      </w:pPr>
      <w:r w:rsidRPr="00431291">
        <w:rPr>
          <w:rFonts w:cs="Arial"/>
          <w:b/>
        </w:rPr>
        <w:t>INFORME GLOBAL DE LAS OBSERVACIONES Y COMENTARIOS</w:t>
      </w:r>
    </w:p>
    <w:p w14:paraId="5961893D" w14:textId="77777777" w:rsidR="00FB1FA2" w:rsidRPr="00431291" w:rsidRDefault="00FB1FA2" w:rsidP="00FB1FA2">
      <w:pPr>
        <w:spacing w:after="0" w:line="240" w:lineRule="auto"/>
        <w:jc w:val="both"/>
        <w:rPr>
          <w:rFonts w:ascii="Arial" w:eastAsia="Times New Roman" w:hAnsi="Arial" w:cs="Arial"/>
          <w:lang w:eastAsia="es-ES"/>
        </w:rPr>
      </w:pPr>
    </w:p>
    <w:p w14:paraId="0DDACDDE" w14:textId="77777777" w:rsidR="00FB1FA2" w:rsidRPr="00431291" w:rsidRDefault="00FB1FA2" w:rsidP="00FB1FA2">
      <w:pPr>
        <w:spacing w:after="0" w:line="240" w:lineRule="auto"/>
        <w:jc w:val="both"/>
        <w:rPr>
          <w:rFonts w:ascii="Arial" w:eastAsia="Times New Roman" w:hAnsi="Arial" w:cs="Arial"/>
          <w:lang w:eastAsia="es-ES"/>
        </w:rPr>
      </w:pPr>
      <w:r w:rsidRPr="00431291">
        <w:rPr>
          <w:rFonts w:ascii="Arial" w:eastAsia="Times New Roman" w:hAnsi="Arial" w:cs="Arial"/>
          <w:lang w:eastAsia="es-ES"/>
        </w:rPr>
        <w:t>El informe global con la evaluación, por categorías, de las observaciones y comentarios de los ciudadanos y grupos de interés hacen parte de esta memoria justificativa y se encuentran contenidos en un solo documento con la matriz de que trata el numeral 10.</w:t>
      </w:r>
      <w:commentRangeEnd w:id="2"/>
      <w:r w:rsidR="00B178CA">
        <w:rPr>
          <w:rStyle w:val="Refdecomentario"/>
        </w:rPr>
        <w:commentReference w:id="2"/>
      </w:r>
    </w:p>
    <w:p w14:paraId="1E1875EC" w14:textId="77777777" w:rsidR="00FB1FA2" w:rsidRPr="00431291" w:rsidRDefault="00FB1FA2" w:rsidP="00FB1FA2">
      <w:pPr>
        <w:spacing w:after="0" w:line="240" w:lineRule="auto"/>
        <w:jc w:val="both"/>
        <w:rPr>
          <w:rFonts w:ascii="Arial" w:eastAsia="Times New Roman" w:hAnsi="Arial" w:cs="Arial"/>
          <w:lang w:eastAsia="es-ES"/>
        </w:rPr>
      </w:pPr>
    </w:p>
    <w:p w14:paraId="1B047801" w14:textId="7409A7E4" w:rsidR="00FB1FA2" w:rsidRPr="00431291" w:rsidRDefault="00FB1FA2" w:rsidP="00FB1FA2">
      <w:pPr>
        <w:spacing w:after="0" w:line="240" w:lineRule="auto"/>
        <w:jc w:val="both"/>
        <w:rPr>
          <w:rFonts w:ascii="Arial" w:eastAsia="Times New Roman" w:hAnsi="Arial" w:cs="Arial"/>
          <w:lang w:eastAsia="es-ES"/>
        </w:rPr>
      </w:pPr>
      <w:r w:rsidRPr="00431291">
        <w:rPr>
          <w:rFonts w:ascii="Arial" w:eastAsia="Times New Roman" w:hAnsi="Arial" w:cs="Arial"/>
          <w:lang w:eastAsia="es-ES"/>
        </w:rPr>
        <w:t xml:space="preserve">La presente Memoria Justificativa fue elaborada por la </w:t>
      </w:r>
      <w:r w:rsidR="00B178CA">
        <w:rPr>
          <w:rFonts w:ascii="Arial" w:eastAsia="Times New Roman" w:hAnsi="Arial" w:cs="Arial"/>
          <w:lang w:eastAsia="es-ES"/>
        </w:rPr>
        <w:t>Oficina Asesora Jurídica y en los apartes pertinentes se tuvo en cuenta la información suministrada por Ecopetrol S.A.</w:t>
      </w:r>
    </w:p>
    <w:p w14:paraId="157C7E35" w14:textId="77777777" w:rsidR="00FB1FA2" w:rsidRPr="00431291" w:rsidRDefault="00FB1FA2" w:rsidP="00FB1FA2">
      <w:pPr>
        <w:spacing w:after="0" w:line="240" w:lineRule="auto"/>
        <w:jc w:val="both"/>
        <w:rPr>
          <w:rFonts w:ascii="Arial" w:eastAsia="Times New Roman" w:hAnsi="Arial" w:cs="Arial"/>
          <w:lang w:eastAsia="es-ES"/>
        </w:rPr>
      </w:pPr>
    </w:p>
    <w:p w14:paraId="51719711" w14:textId="77777777" w:rsidR="00B178CA" w:rsidRDefault="00B178CA" w:rsidP="00FB1FA2">
      <w:pPr>
        <w:rPr>
          <w:rFonts w:ascii="Arial" w:hAnsi="Arial" w:cs="Arial"/>
        </w:rPr>
      </w:pPr>
    </w:p>
    <w:p w14:paraId="49BF7D6D" w14:textId="77777777" w:rsidR="00B178CA" w:rsidRDefault="00B178CA" w:rsidP="00FB1FA2">
      <w:pPr>
        <w:rPr>
          <w:rFonts w:ascii="Arial" w:hAnsi="Arial" w:cs="Arial"/>
        </w:rPr>
      </w:pPr>
    </w:p>
    <w:p w14:paraId="0DBD516D" w14:textId="44A52312" w:rsidR="00B178CA" w:rsidRPr="00B178CA" w:rsidRDefault="00B178CA" w:rsidP="00B178CA">
      <w:pPr>
        <w:spacing w:after="0"/>
        <w:rPr>
          <w:rFonts w:ascii="Arial" w:hAnsi="Arial" w:cs="Arial"/>
          <w:b/>
        </w:rPr>
      </w:pPr>
      <w:r w:rsidRPr="00B178CA">
        <w:rPr>
          <w:rFonts w:ascii="Arial" w:hAnsi="Arial" w:cs="Arial"/>
          <w:b/>
        </w:rPr>
        <w:t>JUAN MANUEL ANDRADE MORANTES</w:t>
      </w:r>
    </w:p>
    <w:p w14:paraId="32E98BCE" w14:textId="71EB9568" w:rsidR="00B178CA" w:rsidRDefault="00B178CA" w:rsidP="00B178CA">
      <w:pPr>
        <w:spacing w:after="0"/>
        <w:rPr>
          <w:rFonts w:ascii="Arial" w:hAnsi="Arial" w:cs="Arial"/>
        </w:rPr>
      </w:pPr>
      <w:r>
        <w:rPr>
          <w:rFonts w:ascii="Arial" w:hAnsi="Arial" w:cs="Arial"/>
        </w:rPr>
        <w:t>Jefe Oficina Asesora Jurídica</w:t>
      </w:r>
    </w:p>
    <w:p w14:paraId="2346E5D3" w14:textId="77777777" w:rsidR="00B178CA" w:rsidRDefault="00B178CA" w:rsidP="00B178CA">
      <w:pPr>
        <w:spacing w:after="0"/>
        <w:rPr>
          <w:rFonts w:ascii="Arial" w:hAnsi="Arial" w:cs="Arial"/>
        </w:rPr>
      </w:pPr>
    </w:p>
    <w:p w14:paraId="75CFBB1A" w14:textId="055AC815" w:rsidR="00B178CA" w:rsidRPr="00B178CA" w:rsidRDefault="00B178CA" w:rsidP="00B178CA">
      <w:pPr>
        <w:spacing w:after="0"/>
        <w:rPr>
          <w:rFonts w:ascii="Arial" w:hAnsi="Arial" w:cs="Arial"/>
          <w:sz w:val="14"/>
          <w:szCs w:val="14"/>
        </w:rPr>
      </w:pPr>
      <w:r w:rsidRPr="00B178CA">
        <w:rPr>
          <w:rFonts w:ascii="Arial" w:hAnsi="Arial" w:cs="Arial"/>
          <w:sz w:val="14"/>
          <w:szCs w:val="14"/>
        </w:rPr>
        <w:t>Proyectó: Yolanda Patiño Chacón</w:t>
      </w:r>
    </w:p>
    <w:p w14:paraId="565FDE23" w14:textId="588430A6" w:rsidR="00B178CA" w:rsidRPr="00B178CA" w:rsidRDefault="00B178CA" w:rsidP="00B178CA">
      <w:pPr>
        <w:spacing w:after="0"/>
        <w:rPr>
          <w:rFonts w:ascii="Arial" w:hAnsi="Arial" w:cs="Arial"/>
          <w:sz w:val="14"/>
          <w:szCs w:val="14"/>
        </w:rPr>
      </w:pPr>
      <w:r w:rsidRPr="00B178CA">
        <w:rPr>
          <w:rFonts w:ascii="Arial" w:hAnsi="Arial" w:cs="Arial"/>
          <w:sz w:val="14"/>
          <w:szCs w:val="14"/>
        </w:rPr>
        <w:t>Revisó: Óscar Omar Gómez Calderón</w:t>
      </w:r>
    </w:p>
    <w:p w14:paraId="532DC489" w14:textId="624B298B" w:rsidR="00B178CA" w:rsidRPr="00B178CA" w:rsidRDefault="00B178CA" w:rsidP="00B178CA">
      <w:pPr>
        <w:spacing w:after="0"/>
        <w:rPr>
          <w:rFonts w:ascii="Arial" w:hAnsi="Arial" w:cs="Arial"/>
          <w:sz w:val="14"/>
          <w:szCs w:val="14"/>
        </w:rPr>
      </w:pPr>
      <w:r w:rsidRPr="00B178CA">
        <w:rPr>
          <w:rFonts w:ascii="Arial" w:hAnsi="Arial" w:cs="Arial"/>
          <w:sz w:val="14"/>
          <w:szCs w:val="14"/>
        </w:rPr>
        <w:t>Aprobó</w:t>
      </w:r>
      <w:proofErr w:type="gramStart"/>
      <w:r w:rsidRPr="00B178CA">
        <w:rPr>
          <w:rFonts w:ascii="Arial" w:hAnsi="Arial" w:cs="Arial"/>
          <w:sz w:val="14"/>
          <w:szCs w:val="14"/>
        </w:rPr>
        <w:t>:  Juan</w:t>
      </w:r>
      <w:proofErr w:type="gramEnd"/>
      <w:r w:rsidRPr="00B178CA">
        <w:rPr>
          <w:rFonts w:ascii="Arial" w:hAnsi="Arial" w:cs="Arial"/>
          <w:sz w:val="14"/>
          <w:szCs w:val="14"/>
        </w:rPr>
        <w:t xml:space="preserve"> Manuel Andrade </w:t>
      </w:r>
      <w:proofErr w:type="spellStart"/>
      <w:r w:rsidRPr="00B178CA">
        <w:rPr>
          <w:rFonts w:ascii="Arial" w:hAnsi="Arial" w:cs="Arial"/>
          <w:sz w:val="14"/>
          <w:szCs w:val="14"/>
        </w:rPr>
        <w:t>Morantes</w:t>
      </w:r>
      <w:proofErr w:type="spellEnd"/>
    </w:p>
    <w:sectPr w:rsidR="00B178CA" w:rsidRPr="00B178CA" w:rsidSect="006437B2">
      <w:headerReference w:type="default" r:id="rId10"/>
      <w:footerReference w:type="default" r:id="rId11"/>
      <w:pgSz w:w="12240" w:h="15840"/>
      <w:pgMar w:top="1701" w:right="1134" w:bottom="1134" w:left="1701" w:header="1559" w:footer="153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Yolanda Patino Chacon" w:date="2017-11-03T15:23:00Z" w:initials="YPC">
    <w:p w14:paraId="59F7FA0B" w14:textId="77777777" w:rsidR="00E81E69" w:rsidRDefault="00E81E69">
      <w:pPr>
        <w:pStyle w:val="Textocomentario"/>
      </w:pPr>
      <w:r>
        <w:rPr>
          <w:rStyle w:val="Refdecomentario"/>
        </w:rPr>
        <w:annotationRef/>
      </w:r>
      <w:r>
        <w:t>Doctor Óscar Gómez, nos ayuda con esta información por favor.</w:t>
      </w:r>
    </w:p>
    <w:p w14:paraId="57F43DD9" w14:textId="77777777" w:rsidR="00E81E69" w:rsidRDefault="00E81E69">
      <w:pPr>
        <w:pStyle w:val="Textocomentario"/>
      </w:pPr>
    </w:p>
    <w:p w14:paraId="642DD0F6" w14:textId="4FF58725" w:rsidR="00E81E69" w:rsidRDefault="00E81E69">
      <w:pPr>
        <w:pStyle w:val="Textocomentario"/>
      </w:pPr>
      <w:r>
        <w:t>Es urgente, muchas gracias.</w:t>
      </w:r>
    </w:p>
  </w:comment>
  <w:comment w:id="2" w:author="Yolanda Patino Chacon" w:date="2017-11-03T15:35:00Z" w:initials="YPC">
    <w:p w14:paraId="0D1202E0" w14:textId="4420759A" w:rsidR="00B178CA" w:rsidRDefault="00B178CA">
      <w:pPr>
        <w:pStyle w:val="Textocomentario"/>
      </w:pPr>
      <w:r>
        <w:rPr>
          <w:rStyle w:val="Refdecomentario"/>
        </w:rPr>
        <w:annotationRef/>
      </w:r>
      <w:r>
        <w:t>Estos dos numerales están pendientes hasta que Presidencia nos defina si debe publicarse o no para comentarios de la ciudadanía.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DD0F6" w15:done="0"/>
  <w15:commentEx w15:paraId="0D1202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A7ED7" w14:textId="77777777" w:rsidR="00BD393B" w:rsidRDefault="00BD393B" w:rsidP="00CD6908">
      <w:pPr>
        <w:spacing w:after="0" w:line="240" w:lineRule="auto"/>
      </w:pPr>
      <w:r>
        <w:separator/>
      </w:r>
    </w:p>
  </w:endnote>
  <w:endnote w:type="continuationSeparator" w:id="0">
    <w:p w14:paraId="354C37B7" w14:textId="77777777" w:rsidR="00BD393B" w:rsidRDefault="00BD393B"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19E69" w14:textId="77777777" w:rsidR="006437B2" w:rsidRPr="006437B2" w:rsidRDefault="006437B2" w:rsidP="006437B2">
    <w:pPr>
      <w:pStyle w:val="Piedepgina"/>
      <w:tabs>
        <w:tab w:val="clear" w:pos="4419"/>
      </w:tabs>
      <w:jc w:val="right"/>
      <w:rPr>
        <w:rFonts w:ascii="Arial" w:hAnsi="Arial" w:cs="Arial"/>
        <w:sz w:val="20"/>
        <w:szCs w:val="20"/>
      </w:rPr>
    </w:pPr>
    <w:r w:rsidRPr="006437B2">
      <w:rPr>
        <w:rFonts w:ascii="Arial" w:hAnsi="Arial" w:cs="Arial"/>
        <w:sz w:val="20"/>
        <w:szCs w:val="20"/>
      </w:rPr>
      <w:t xml:space="preserve">Página </w:t>
    </w:r>
    <w:r w:rsidRPr="006437B2">
      <w:rPr>
        <w:rFonts w:ascii="Arial" w:hAnsi="Arial" w:cs="Arial"/>
        <w:sz w:val="20"/>
        <w:szCs w:val="20"/>
      </w:rPr>
      <w:fldChar w:fldCharType="begin"/>
    </w:r>
    <w:r w:rsidRPr="006437B2">
      <w:rPr>
        <w:rFonts w:ascii="Arial" w:hAnsi="Arial" w:cs="Arial"/>
        <w:sz w:val="20"/>
        <w:szCs w:val="20"/>
      </w:rPr>
      <w:instrText xml:space="preserve"> PAGE  \* Arabic  \* MERGEFORMAT </w:instrText>
    </w:r>
    <w:r w:rsidRPr="006437B2">
      <w:rPr>
        <w:rFonts w:ascii="Arial" w:hAnsi="Arial" w:cs="Arial"/>
        <w:sz w:val="20"/>
        <w:szCs w:val="20"/>
      </w:rPr>
      <w:fldChar w:fldCharType="separate"/>
    </w:r>
    <w:r w:rsidR="00DF40E8">
      <w:rPr>
        <w:rFonts w:ascii="Arial" w:hAnsi="Arial" w:cs="Arial"/>
        <w:noProof/>
        <w:sz w:val="20"/>
        <w:szCs w:val="20"/>
      </w:rPr>
      <w:t>5</w:t>
    </w:r>
    <w:r w:rsidRPr="006437B2">
      <w:rPr>
        <w:rFonts w:ascii="Arial" w:hAnsi="Arial" w:cs="Arial"/>
        <w:sz w:val="20"/>
        <w:szCs w:val="20"/>
      </w:rPr>
      <w:fldChar w:fldCharType="end"/>
    </w:r>
    <w:r w:rsidRPr="006437B2">
      <w:rPr>
        <w:rFonts w:ascii="Arial" w:hAnsi="Arial" w:cs="Arial"/>
        <w:sz w:val="20"/>
        <w:szCs w:val="20"/>
      </w:rPr>
      <w:t xml:space="preserve"> de</w:t>
    </w:r>
    <w:r w:rsidR="00F43728">
      <w:rPr>
        <w:rFonts w:ascii="Arial" w:hAnsi="Arial" w:cs="Arial"/>
        <w:sz w:val="20"/>
        <w:szCs w:val="20"/>
      </w:rPr>
      <w:t xml:space="preserve"> </w:t>
    </w:r>
    <w:r w:rsidR="00F43728">
      <w:rPr>
        <w:rFonts w:ascii="Arial" w:hAnsi="Arial" w:cs="Arial"/>
        <w:sz w:val="20"/>
        <w:szCs w:val="20"/>
      </w:rPr>
      <w:fldChar w:fldCharType="begin"/>
    </w:r>
    <w:r w:rsidR="00F43728">
      <w:rPr>
        <w:rFonts w:ascii="Arial" w:hAnsi="Arial" w:cs="Arial"/>
        <w:sz w:val="20"/>
        <w:szCs w:val="20"/>
      </w:rPr>
      <w:instrText xml:space="preserve"> NUMPAGES  \* Arabic  \* MERGEFORMAT </w:instrText>
    </w:r>
    <w:r w:rsidR="00F43728">
      <w:rPr>
        <w:rFonts w:ascii="Arial" w:hAnsi="Arial" w:cs="Arial"/>
        <w:sz w:val="20"/>
        <w:szCs w:val="20"/>
      </w:rPr>
      <w:fldChar w:fldCharType="separate"/>
    </w:r>
    <w:r w:rsidR="00DF40E8">
      <w:rPr>
        <w:rFonts w:ascii="Arial" w:hAnsi="Arial" w:cs="Arial"/>
        <w:noProof/>
        <w:sz w:val="20"/>
        <w:szCs w:val="20"/>
      </w:rPr>
      <w:t>5</w:t>
    </w:r>
    <w:r w:rsidR="00F43728">
      <w:rPr>
        <w:rFonts w:ascii="Arial" w:hAnsi="Arial" w:cs="Arial"/>
        <w:sz w:val="20"/>
        <w:szCs w:val="20"/>
      </w:rPr>
      <w:fldChar w:fldCharType="end"/>
    </w:r>
  </w:p>
  <w:p w14:paraId="4A66E607" w14:textId="77777777" w:rsidR="004A4BFE" w:rsidRDefault="00C243CC" w:rsidP="006A1018">
    <w:pPr>
      <w:pStyle w:val="Piedepgina"/>
      <w:jc w:val="center"/>
    </w:pPr>
    <w:r>
      <w:rPr>
        <w:noProof/>
        <w:sz w:val="20"/>
        <w:szCs w:val="20"/>
        <w:lang w:eastAsia="es-CO"/>
      </w:rPr>
      <w:drawing>
        <wp:anchor distT="0" distB="0" distL="114300" distR="114300" simplePos="0" relativeHeight="251660288" behindDoc="1" locked="0" layoutInCell="1" allowOverlap="1" wp14:anchorId="440099A9" wp14:editId="6613C05C">
          <wp:simplePos x="0" y="0"/>
          <wp:positionH relativeFrom="page">
            <wp:posOffset>8626</wp:posOffset>
          </wp:positionH>
          <wp:positionV relativeFrom="page">
            <wp:align>bottom</wp:align>
          </wp:positionV>
          <wp:extent cx="7746521" cy="968395"/>
          <wp:effectExtent l="0" t="0" r="698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6521" cy="968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DBD82" w14:textId="77777777" w:rsidR="00BD393B" w:rsidRDefault="00BD393B" w:rsidP="00CD6908">
      <w:pPr>
        <w:spacing w:after="0" w:line="240" w:lineRule="auto"/>
      </w:pPr>
      <w:r>
        <w:separator/>
      </w:r>
    </w:p>
  </w:footnote>
  <w:footnote w:type="continuationSeparator" w:id="0">
    <w:p w14:paraId="5E29CC4F" w14:textId="77777777" w:rsidR="00BD393B" w:rsidRDefault="00BD393B" w:rsidP="00CD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D1EE6" w14:textId="77777777" w:rsidR="00B33FC1" w:rsidRDefault="00E856A5" w:rsidP="004A4BFE">
    <w:pPr>
      <w:pStyle w:val="Encabezado"/>
      <w:jc w:val="center"/>
    </w:pPr>
    <w:r>
      <w:rPr>
        <w:noProof/>
        <w:lang w:eastAsia="es-CO"/>
      </w:rPr>
      <w:drawing>
        <wp:anchor distT="0" distB="0" distL="114300" distR="114300" simplePos="0" relativeHeight="251661312" behindDoc="0" locked="0" layoutInCell="1" allowOverlap="1" wp14:anchorId="79693C1C" wp14:editId="1913B6CF">
          <wp:simplePos x="0" y="0"/>
          <wp:positionH relativeFrom="column">
            <wp:posOffset>-118110</wp:posOffset>
          </wp:positionH>
          <wp:positionV relativeFrom="page">
            <wp:posOffset>341630</wp:posOffset>
          </wp:positionV>
          <wp:extent cx="2403475" cy="616585"/>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Minas_LOGO-BN-01.png"/>
                  <pic:cNvPicPr/>
                </pic:nvPicPr>
                <pic:blipFill>
                  <a:blip r:embed="rId1">
                    <a:extLst>
                      <a:ext uri="{28A0092B-C50C-407E-A947-70E740481C1C}">
                        <a14:useLocalDpi xmlns:a14="http://schemas.microsoft.com/office/drawing/2010/main" val="0"/>
                      </a:ext>
                    </a:extLst>
                  </a:blip>
                  <a:stretch>
                    <a:fillRect/>
                  </a:stretch>
                </pic:blipFill>
                <pic:spPr>
                  <a:xfrm>
                    <a:off x="0" y="0"/>
                    <a:ext cx="2403475" cy="616585"/>
                  </a:xfrm>
                  <a:prstGeom prst="rect">
                    <a:avLst/>
                  </a:prstGeom>
                </pic:spPr>
              </pic:pic>
            </a:graphicData>
          </a:graphic>
          <wp14:sizeRelH relativeFrom="margin">
            <wp14:pctWidth>0</wp14:pctWidth>
          </wp14:sizeRelH>
          <wp14:sizeRelV relativeFrom="margin">
            <wp14:pctHeight>0</wp14:pctHeight>
          </wp14:sizeRelV>
        </wp:anchor>
      </w:drawing>
    </w:r>
  </w:p>
  <w:p w14:paraId="4CF75404" w14:textId="77777777" w:rsidR="00CD6908" w:rsidRPr="00966328" w:rsidRDefault="00CD6908" w:rsidP="004A4BF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7AF0F24"/>
    <w:multiLevelType w:val="hybridMultilevel"/>
    <w:tmpl w:val="AC1C3C0C"/>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 w15:restartNumberingAfterBreak="0">
    <w:nsid w:val="2A361F0F"/>
    <w:multiLevelType w:val="hybridMultilevel"/>
    <w:tmpl w:val="71729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F743D20"/>
    <w:multiLevelType w:val="hybridMultilevel"/>
    <w:tmpl w:val="8EB424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9B1346"/>
    <w:multiLevelType w:val="hybridMultilevel"/>
    <w:tmpl w:val="90F6AB22"/>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6" w15:restartNumberingAfterBreak="0">
    <w:nsid w:val="33C716C3"/>
    <w:multiLevelType w:val="hybridMultilevel"/>
    <w:tmpl w:val="F92CC5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731C98"/>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7"/>
  </w:num>
  <w:num w:numId="6">
    <w:abstractNumId w:val="4"/>
  </w:num>
  <w:num w:numId="7">
    <w:abstractNumId w:val="1"/>
  </w:num>
  <w:num w:numId="8">
    <w:abstractNumId w:val="5"/>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landa Patino Chacon">
    <w15:presenceInfo w15:providerId="AD" w15:userId="S-1-5-21-2732958385-1553597709-645026296-1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_tradnl" w:vendorID="64" w:dllVersion="131078" w:nlCheck="1" w:checkStyle="1"/>
  <w:activeWritingStyle w:appName="MSWord" w:lang="es-CO" w:vendorID="64" w:dllVersion="131078" w:nlCheck="1" w:checkStyle="1"/>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3392"/>
    <w:rsid w:val="000134D7"/>
    <w:rsid w:val="00036F9A"/>
    <w:rsid w:val="00050C17"/>
    <w:rsid w:val="000610B9"/>
    <w:rsid w:val="000612BF"/>
    <w:rsid w:val="000645F0"/>
    <w:rsid w:val="00067FA3"/>
    <w:rsid w:val="000812CF"/>
    <w:rsid w:val="000A4754"/>
    <w:rsid w:val="000B179D"/>
    <w:rsid w:val="000B2806"/>
    <w:rsid w:val="000B3201"/>
    <w:rsid w:val="000B3820"/>
    <w:rsid w:val="000B74E0"/>
    <w:rsid w:val="000C5B71"/>
    <w:rsid w:val="000C7418"/>
    <w:rsid w:val="000D3BA7"/>
    <w:rsid w:val="000E0FA8"/>
    <w:rsid w:val="001012EC"/>
    <w:rsid w:val="00104E59"/>
    <w:rsid w:val="001064D1"/>
    <w:rsid w:val="00106D5C"/>
    <w:rsid w:val="001131D4"/>
    <w:rsid w:val="00135E99"/>
    <w:rsid w:val="001362EF"/>
    <w:rsid w:val="001535DB"/>
    <w:rsid w:val="00162E7B"/>
    <w:rsid w:val="0017493B"/>
    <w:rsid w:val="00191B4F"/>
    <w:rsid w:val="00195CDA"/>
    <w:rsid w:val="001A7705"/>
    <w:rsid w:val="001D0588"/>
    <w:rsid w:val="001E6A54"/>
    <w:rsid w:val="001F3A75"/>
    <w:rsid w:val="00240A95"/>
    <w:rsid w:val="00242FF3"/>
    <w:rsid w:val="00250934"/>
    <w:rsid w:val="00264692"/>
    <w:rsid w:val="00275E5B"/>
    <w:rsid w:val="00284CAB"/>
    <w:rsid w:val="002A04AE"/>
    <w:rsid w:val="002B20B7"/>
    <w:rsid w:val="002D2D62"/>
    <w:rsid w:val="002D39C9"/>
    <w:rsid w:val="002E38A5"/>
    <w:rsid w:val="002E6C39"/>
    <w:rsid w:val="002F41CF"/>
    <w:rsid w:val="003145DB"/>
    <w:rsid w:val="0032390A"/>
    <w:rsid w:val="00327659"/>
    <w:rsid w:val="0033558C"/>
    <w:rsid w:val="003460DC"/>
    <w:rsid w:val="00350B93"/>
    <w:rsid w:val="003613B0"/>
    <w:rsid w:val="00370FD8"/>
    <w:rsid w:val="00375F5E"/>
    <w:rsid w:val="00380790"/>
    <w:rsid w:val="00381C87"/>
    <w:rsid w:val="003A02E0"/>
    <w:rsid w:val="003A4FB5"/>
    <w:rsid w:val="003B208C"/>
    <w:rsid w:val="003B3C1A"/>
    <w:rsid w:val="003C5B73"/>
    <w:rsid w:val="003D23A5"/>
    <w:rsid w:val="003E117C"/>
    <w:rsid w:val="003F0E52"/>
    <w:rsid w:val="003F2E98"/>
    <w:rsid w:val="003F5145"/>
    <w:rsid w:val="004013D7"/>
    <w:rsid w:val="00402D56"/>
    <w:rsid w:val="00410303"/>
    <w:rsid w:val="004110EE"/>
    <w:rsid w:val="004214C7"/>
    <w:rsid w:val="00431291"/>
    <w:rsid w:val="00435C65"/>
    <w:rsid w:val="004779E8"/>
    <w:rsid w:val="004A2D6D"/>
    <w:rsid w:val="004A4BFE"/>
    <w:rsid w:val="004D1151"/>
    <w:rsid w:val="004D1279"/>
    <w:rsid w:val="004E7DEB"/>
    <w:rsid w:val="004F5414"/>
    <w:rsid w:val="005051EA"/>
    <w:rsid w:val="00512D08"/>
    <w:rsid w:val="005145FC"/>
    <w:rsid w:val="0051729F"/>
    <w:rsid w:val="005245DC"/>
    <w:rsid w:val="005333A7"/>
    <w:rsid w:val="00535378"/>
    <w:rsid w:val="00543B8C"/>
    <w:rsid w:val="0057295F"/>
    <w:rsid w:val="00593B09"/>
    <w:rsid w:val="005D16A6"/>
    <w:rsid w:val="00602A7F"/>
    <w:rsid w:val="006168A1"/>
    <w:rsid w:val="00631735"/>
    <w:rsid w:val="006437B2"/>
    <w:rsid w:val="006468C0"/>
    <w:rsid w:val="006A1018"/>
    <w:rsid w:val="006A3250"/>
    <w:rsid w:val="006B5A0F"/>
    <w:rsid w:val="006C5351"/>
    <w:rsid w:val="006D0E44"/>
    <w:rsid w:val="006E4DE1"/>
    <w:rsid w:val="006F18D2"/>
    <w:rsid w:val="006F68E4"/>
    <w:rsid w:val="00700E06"/>
    <w:rsid w:val="0070480B"/>
    <w:rsid w:val="00715175"/>
    <w:rsid w:val="0072544E"/>
    <w:rsid w:val="00754431"/>
    <w:rsid w:val="007623E4"/>
    <w:rsid w:val="0076618F"/>
    <w:rsid w:val="0077490D"/>
    <w:rsid w:val="007B050B"/>
    <w:rsid w:val="007D0C08"/>
    <w:rsid w:val="007F0C5D"/>
    <w:rsid w:val="0083284B"/>
    <w:rsid w:val="00834D5E"/>
    <w:rsid w:val="00837038"/>
    <w:rsid w:val="00842C3E"/>
    <w:rsid w:val="008531F5"/>
    <w:rsid w:val="008625B9"/>
    <w:rsid w:val="008718D3"/>
    <w:rsid w:val="008A7D32"/>
    <w:rsid w:val="008C08F4"/>
    <w:rsid w:val="008D5DA6"/>
    <w:rsid w:val="008D60F2"/>
    <w:rsid w:val="008F0928"/>
    <w:rsid w:val="008F0B74"/>
    <w:rsid w:val="008F4339"/>
    <w:rsid w:val="008F7389"/>
    <w:rsid w:val="00906E72"/>
    <w:rsid w:val="00910BEA"/>
    <w:rsid w:val="00936780"/>
    <w:rsid w:val="00936D34"/>
    <w:rsid w:val="00954D60"/>
    <w:rsid w:val="00965F03"/>
    <w:rsid w:val="00966328"/>
    <w:rsid w:val="00982053"/>
    <w:rsid w:val="009A0D48"/>
    <w:rsid w:val="009A4D62"/>
    <w:rsid w:val="009A6BF3"/>
    <w:rsid w:val="009B1C4C"/>
    <w:rsid w:val="009D4292"/>
    <w:rsid w:val="009D561B"/>
    <w:rsid w:val="009D6786"/>
    <w:rsid w:val="009E3FBA"/>
    <w:rsid w:val="009E42CD"/>
    <w:rsid w:val="00A22B1A"/>
    <w:rsid w:val="00A53979"/>
    <w:rsid w:val="00A64A92"/>
    <w:rsid w:val="00A7627C"/>
    <w:rsid w:val="00A907F5"/>
    <w:rsid w:val="00A95E0B"/>
    <w:rsid w:val="00A961BB"/>
    <w:rsid w:val="00AB5054"/>
    <w:rsid w:val="00AC2BFA"/>
    <w:rsid w:val="00AD63CB"/>
    <w:rsid w:val="00AE4C6A"/>
    <w:rsid w:val="00B03366"/>
    <w:rsid w:val="00B128BF"/>
    <w:rsid w:val="00B178CA"/>
    <w:rsid w:val="00B20B6B"/>
    <w:rsid w:val="00B25FAD"/>
    <w:rsid w:val="00B33CF7"/>
    <w:rsid w:val="00B33FC1"/>
    <w:rsid w:val="00B34880"/>
    <w:rsid w:val="00B53EDD"/>
    <w:rsid w:val="00B55363"/>
    <w:rsid w:val="00B618E2"/>
    <w:rsid w:val="00BA2915"/>
    <w:rsid w:val="00BA519E"/>
    <w:rsid w:val="00BB190D"/>
    <w:rsid w:val="00BC1763"/>
    <w:rsid w:val="00BC7A16"/>
    <w:rsid w:val="00BD0828"/>
    <w:rsid w:val="00BD393B"/>
    <w:rsid w:val="00BD589E"/>
    <w:rsid w:val="00BE2BF9"/>
    <w:rsid w:val="00C11DD0"/>
    <w:rsid w:val="00C1555F"/>
    <w:rsid w:val="00C15C80"/>
    <w:rsid w:val="00C17997"/>
    <w:rsid w:val="00C243CC"/>
    <w:rsid w:val="00C30E57"/>
    <w:rsid w:val="00C323F2"/>
    <w:rsid w:val="00C40206"/>
    <w:rsid w:val="00C6003E"/>
    <w:rsid w:val="00C70D2D"/>
    <w:rsid w:val="00C77320"/>
    <w:rsid w:val="00C803FE"/>
    <w:rsid w:val="00CB54B6"/>
    <w:rsid w:val="00CC7089"/>
    <w:rsid w:val="00CD6908"/>
    <w:rsid w:val="00CF3818"/>
    <w:rsid w:val="00D02E36"/>
    <w:rsid w:val="00D22F0F"/>
    <w:rsid w:val="00D460AB"/>
    <w:rsid w:val="00D62C16"/>
    <w:rsid w:val="00D63529"/>
    <w:rsid w:val="00D85D79"/>
    <w:rsid w:val="00D97AFE"/>
    <w:rsid w:val="00DA5899"/>
    <w:rsid w:val="00DB7FF5"/>
    <w:rsid w:val="00DF3D76"/>
    <w:rsid w:val="00DF40E8"/>
    <w:rsid w:val="00DF5D3D"/>
    <w:rsid w:val="00DF7DF9"/>
    <w:rsid w:val="00E00785"/>
    <w:rsid w:val="00E01A45"/>
    <w:rsid w:val="00E071DB"/>
    <w:rsid w:val="00E073C1"/>
    <w:rsid w:val="00E10225"/>
    <w:rsid w:val="00E17201"/>
    <w:rsid w:val="00E2029F"/>
    <w:rsid w:val="00E34331"/>
    <w:rsid w:val="00E344BB"/>
    <w:rsid w:val="00E34DA7"/>
    <w:rsid w:val="00E7639F"/>
    <w:rsid w:val="00E81E69"/>
    <w:rsid w:val="00E8207C"/>
    <w:rsid w:val="00E856A5"/>
    <w:rsid w:val="00E92B9E"/>
    <w:rsid w:val="00E93203"/>
    <w:rsid w:val="00EB3996"/>
    <w:rsid w:val="00EB5118"/>
    <w:rsid w:val="00EB6024"/>
    <w:rsid w:val="00ED0ACD"/>
    <w:rsid w:val="00F15BFE"/>
    <w:rsid w:val="00F27874"/>
    <w:rsid w:val="00F34023"/>
    <w:rsid w:val="00F369DA"/>
    <w:rsid w:val="00F43728"/>
    <w:rsid w:val="00F54543"/>
    <w:rsid w:val="00F55996"/>
    <w:rsid w:val="00F604EC"/>
    <w:rsid w:val="00F609CE"/>
    <w:rsid w:val="00F62E7E"/>
    <w:rsid w:val="00F76FA1"/>
    <w:rsid w:val="00F806E2"/>
    <w:rsid w:val="00F85238"/>
    <w:rsid w:val="00F929E9"/>
    <w:rsid w:val="00FA28B8"/>
    <w:rsid w:val="00FA3A43"/>
    <w:rsid w:val="00FB1FA2"/>
    <w:rsid w:val="00FC1414"/>
    <w:rsid w:val="00FC5397"/>
    <w:rsid w:val="00FE421C"/>
    <w:rsid w:val="00FF2126"/>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202B7"/>
  <w15:docId w15:val="{DABE4A5D-E774-435F-9253-71BF8D3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5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link w:val="PrrafodelistaCar"/>
    <w:uiPriority w:val="34"/>
    <w:qFormat/>
    <w:rsid w:val="00003392"/>
    <w:pPr>
      <w:ind w:left="708"/>
    </w:pPr>
    <w:rPr>
      <w:rFonts w:ascii="Arial" w:eastAsia="Arial" w:hAnsi="Arial" w:cs="Times New Roman"/>
    </w:r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character" w:styleId="Refdecomentario">
    <w:name w:val="annotation reference"/>
    <w:basedOn w:val="Fuentedeprrafopredeter"/>
    <w:uiPriority w:val="99"/>
    <w:unhideWhenUsed/>
    <w:rsid w:val="00C6003E"/>
    <w:rPr>
      <w:sz w:val="16"/>
      <w:szCs w:val="16"/>
    </w:rPr>
  </w:style>
  <w:style w:type="paragraph" w:styleId="Textocomentario">
    <w:name w:val="annotation text"/>
    <w:basedOn w:val="Normal"/>
    <w:link w:val="TextocomentarioCar"/>
    <w:uiPriority w:val="99"/>
    <w:semiHidden/>
    <w:unhideWhenUsed/>
    <w:rsid w:val="00C600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03E"/>
    <w:rPr>
      <w:sz w:val="20"/>
      <w:szCs w:val="20"/>
    </w:rPr>
  </w:style>
  <w:style w:type="paragraph" w:styleId="Asuntodelcomentario">
    <w:name w:val="annotation subject"/>
    <w:basedOn w:val="Textocomentario"/>
    <w:next w:val="Textocomentario"/>
    <w:link w:val="AsuntodelcomentarioCar"/>
    <w:uiPriority w:val="99"/>
    <w:semiHidden/>
    <w:unhideWhenUsed/>
    <w:rsid w:val="00C6003E"/>
    <w:rPr>
      <w:b/>
      <w:bCs/>
    </w:rPr>
  </w:style>
  <w:style w:type="character" w:customStyle="1" w:styleId="AsuntodelcomentarioCar">
    <w:name w:val="Asunto del comentario Car"/>
    <w:basedOn w:val="TextocomentarioCar"/>
    <w:link w:val="Asuntodelcomentario"/>
    <w:uiPriority w:val="99"/>
    <w:semiHidden/>
    <w:rsid w:val="00C6003E"/>
    <w:rPr>
      <w:b/>
      <w:bCs/>
      <w:sz w:val="20"/>
      <w:szCs w:val="20"/>
    </w:rPr>
  </w:style>
  <w:style w:type="paragraph" w:styleId="Textonotapie">
    <w:name w:val="footnote text"/>
    <w:basedOn w:val="Normal"/>
    <w:link w:val="TextonotapieCar"/>
    <w:uiPriority w:val="99"/>
    <w:semiHidden/>
    <w:unhideWhenUsed/>
    <w:rsid w:val="00C600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003E"/>
    <w:rPr>
      <w:sz w:val="20"/>
      <w:szCs w:val="20"/>
    </w:rPr>
  </w:style>
  <w:style w:type="character" w:styleId="Refdenotaalpie">
    <w:name w:val="footnote reference"/>
    <w:basedOn w:val="Fuentedeprrafopredeter"/>
    <w:uiPriority w:val="99"/>
    <w:semiHidden/>
    <w:unhideWhenUsed/>
    <w:rsid w:val="00C6003E"/>
    <w:rPr>
      <w:vertAlign w:val="superscript"/>
    </w:rPr>
  </w:style>
  <w:style w:type="character" w:customStyle="1" w:styleId="baj">
    <w:name w:val="b_aj"/>
    <w:basedOn w:val="Fuentedeprrafopredeter"/>
    <w:rsid w:val="00FA3A43"/>
  </w:style>
  <w:style w:type="paragraph" w:customStyle="1" w:styleId="Default">
    <w:name w:val="Default"/>
    <w:rsid w:val="00FB1FA2"/>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CM9">
    <w:name w:val="CM9"/>
    <w:basedOn w:val="Default"/>
    <w:next w:val="Default"/>
    <w:uiPriority w:val="99"/>
    <w:rsid w:val="001D0588"/>
    <w:rPr>
      <w:rFonts w:eastAsiaTheme="minorHAnsi"/>
      <w:color w:val="auto"/>
      <w:lang w:eastAsia="en-US"/>
    </w:rPr>
  </w:style>
  <w:style w:type="paragraph" w:customStyle="1" w:styleId="CM5">
    <w:name w:val="CM5"/>
    <w:basedOn w:val="Default"/>
    <w:next w:val="Default"/>
    <w:uiPriority w:val="99"/>
    <w:rsid w:val="002D2D62"/>
    <w:rPr>
      <w:rFonts w:eastAsiaTheme="minorHAnsi"/>
      <w:color w:val="auto"/>
      <w:lang w:eastAsia="en-US"/>
    </w:rPr>
  </w:style>
  <w:style w:type="character" w:customStyle="1" w:styleId="PrrafodelistaCar">
    <w:name w:val="Párrafo de lista Car"/>
    <w:link w:val="Prrafodelista"/>
    <w:uiPriority w:val="34"/>
    <w:rsid w:val="009E42CD"/>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2211">
      <w:bodyDiv w:val="1"/>
      <w:marLeft w:val="0"/>
      <w:marRight w:val="0"/>
      <w:marTop w:val="0"/>
      <w:marBottom w:val="0"/>
      <w:divBdr>
        <w:top w:val="none" w:sz="0" w:space="0" w:color="auto"/>
        <w:left w:val="none" w:sz="0" w:space="0" w:color="auto"/>
        <w:bottom w:val="none" w:sz="0" w:space="0" w:color="auto"/>
        <w:right w:val="none" w:sz="0" w:space="0" w:color="auto"/>
      </w:divBdr>
    </w:div>
    <w:div w:id="97533137">
      <w:bodyDiv w:val="1"/>
      <w:marLeft w:val="0"/>
      <w:marRight w:val="0"/>
      <w:marTop w:val="0"/>
      <w:marBottom w:val="0"/>
      <w:divBdr>
        <w:top w:val="none" w:sz="0" w:space="0" w:color="auto"/>
        <w:left w:val="none" w:sz="0" w:space="0" w:color="auto"/>
        <w:bottom w:val="none" w:sz="0" w:space="0" w:color="auto"/>
        <w:right w:val="none" w:sz="0" w:space="0" w:color="auto"/>
      </w:divBdr>
    </w:div>
    <w:div w:id="325207041">
      <w:bodyDiv w:val="1"/>
      <w:marLeft w:val="0"/>
      <w:marRight w:val="0"/>
      <w:marTop w:val="0"/>
      <w:marBottom w:val="0"/>
      <w:divBdr>
        <w:top w:val="none" w:sz="0" w:space="0" w:color="auto"/>
        <w:left w:val="none" w:sz="0" w:space="0" w:color="auto"/>
        <w:bottom w:val="none" w:sz="0" w:space="0" w:color="auto"/>
        <w:right w:val="none" w:sz="0" w:space="0" w:color="auto"/>
      </w:divBdr>
    </w:div>
    <w:div w:id="507642285">
      <w:bodyDiv w:val="1"/>
      <w:marLeft w:val="0"/>
      <w:marRight w:val="0"/>
      <w:marTop w:val="0"/>
      <w:marBottom w:val="0"/>
      <w:divBdr>
        <w:top w:val="none" w:sz="0" w:space="0" w:color="auto"/>
        <w:left w:val="none" w:sz="0" w:space="0" w:color="auto"/>
        <w:bottom w:val="none" w:sz="0" w:space="0" w:color="auto"/>
        <w:right w:val="none" w:sz="0" w:space="0" w:color="auto"/>
      </w:divBdr>
    </w:div>
    <w:div w:id="955211663">
      <w:bodyDiv w:val="1"/>
      <w:marLeft w:val="0"/>
      <w:marRight w:val="0"/>
      <w:marTop w:val="0"/>
      <w:marBottom w:val="0"/>
      <w:divBdr>
        <w:top w:val="none" w:sz="0" w:space="0" w:color="auto"/>
        <w:left w:val="none" w:sz="0" w:space="0" w:color="auto"/>
        <w:bottom w:val="none" w:sz="0" w:space="0" w:color="auto"/>
        <w:right w:val="none" w:sz="0" w:space="0" w:color="auto"/>
      </w:divBdr>
      <w:divsChild>
        <w:div w:id="704210737">
          <w:marLeft w:val="0"/>
          <w:marRight w:val="0"/>
          <w:marTop w:val="0"/>
          <w:marBottom w:val="0"/>
          <w:divBdr>
            <w:top w:val="single" w:sz="6" w:space="0" w:color="A8A8A8"/>
            <w:left w:val="single" w:sz="6" w:space="0" w:color="A8A8A8"/>
            <w:bottom w:val="single" w:sz="6" w:space="0" w:color="A8A8A8"/>
            <w:right w:val="single" w:sz="6" w:space="0" w:color="A8A8A8"/>
          </w:divBdr>
          <w:divsChild>
            <w:div w:id="387723425">
              <w:marLeft w:val="0"/>
              <w:marRight w:val="0"/>
              <w:marTop w:val="0"/>
              <w:marBottom w:val="0"/>
              <w:divBdr>
                <w:top w:val="none" w:sz="0" w:space="0" w:color="auto"/>
                <w:left w:val="none" w:sz="0" w:space="0" w:color="auto"/>
                <w:bottom w:val="none" w:sz="0" w:space="0" w:color="auto"/>
                <w:right w:val="none" w:sz="0" w:space="0" w:color="auto"/>
              </w:divBdr>
              <w:divsChild>
                <w:div w:id="12732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5931">
      <w:bodyDiv w:val="1"/>
      <w:marLeft w:val="0"/>
      <w:marRight w:val="0"/>
      <w:marTop w:val="0"/>
      <w:marBottom w:val="0"/>
      <w:divBdr>
        <w:top w:val="none" w:sz="0" w:space="0" w:color="auto"/>
        <w:left w:val="none" w:sz="0" w:space="0" w:color="auto"/>
        <w:bottom w:val="none" w:sz="0" w:space="0" w:color="auto"/>
        <w:right w:val="none" w:sz="0" w:space="0" w:color="auto"/>
      </w:divBdr>
    </w:div>
    <w:div w:id="1079595351">
      <w:bodyDiv w:val="1"/>
      <w:marLeft w:val="0"/>
      <w:marRight w:val="0"/>
      <w:marTop w:val="0"/>
      <w:marBottom w:val="0"/>
      <w:divBdr>
        <w:top w:val="none" w:sz="0" w:space="0" w:color="auto"/>
        <w:left w:val="none" w:sz="0" w:space="0" w:color="auto"/>
        <w:bottom w:val="none" w:sz="0" w:space="0" w:color="auto"/>
        <w:right w:val="none" w:sz="0" w:space="0" w:color="auto"/>
      </w:divBdr>
    </w:div>
    <w:div w:id="1268657581">
      <w:bodyDiv w:val="1"/>
      <w:marLeft w:val="0"/>
      <w:marRight w:val="0"/>
      <w:marTop w:val="0"/>
      <w:marBottom w:val="0"/>
      <w:divBdr>
        <w:top w:val="none" w:sz="0" w:space="0" w:color="auto"/>
        <w:left w:val="none" w:sz="0" w:space="0" w:color="auto"/>
        <w:bottom w:val="none" w:sz="0" w:space="0" w:color="auto"/>
        <w:right w:val="none" w:sz="0" w:space="0" w:color="auto"/>
      </w:divBdr>
    </w:div>
    <w:div w:id="1576741506">
      <w:bodyDiv w:val="1"/>
      <w:marLeft w:val="0"/>
      <w:marRight w:val="0"/>
      <w:marTop w:val="0"/>
      <w:marBottom w:val="0"/>
      <w:divBdr>
        <w:top w:val="none" w:sz="0" w:space="0" w:color="auto"/>
        <w:left w:val="none" w:sz="0" w:space="0" w:color="auto"/>
        <w:bottom w:val="none" w:sz="0" w:space="0" w:color="auto"/>
        <w:right w:val="none" w:sz="0" w:space="0" w:color="auto"/>
      </w:divBdr>
    </w:div>
    <w:div w:id="1608273974">
      <w:bodyDiv w:val="1"/>
      <w:marLeft w:val="0"/>
      <w:marRight w:val="0"/>
      <w:marTop w:val="0"/>
      <w:marBottom w:val="0"/>
      <w:divBdr>
        <w:top w:val="none" w:sz="0" w:space="0" w:color="auto"/>
        <w:left w:val="none" w:sz="0" w:space="0" w:color="auto"/>
        <w:bottom w:val="none" w:sz="0" w:space="0" w:color="auto"/>
        <w:right w:val="none" w:sz="0" w:space="0" w:color="auto"/>
      </w:divBdr>
    </w:div>
    <w:div w:id="1667198614">
      <w:bodyDiv w:val="1"/>
      <w:marLeft w:val="0"/>
      <w:marRight w:val="0"/>
      <w:marTop w:val="0"/>
      <w:marBottom w:val="0"/>
      <w:divBdr>
        <w:top w:val="none" w:sz="0" w:space="0" w:color="auto"/>
        <w:left w:val="none" w:sz="0" w:space="0" w:color="auto"/>
        <w:bottom w:val="none" w:sz="0" w:space="0" w:color="auto"/>
        <w:right w:val="none" w:sz="0" w:space="0" w:color="auto"/>
      </w:divBdr>
    </w:div>
    <w:div w:id="1698774617">
      <w:bodyDiv w:val="1"/>
      <w:marLeft w:val="0"/>
      <w:marRight w:val="0"/>
      <w:marTop w:val="0"/>
      <w:marBottom w:val="0"/>
      <w:divBdr>
        <w:top w:val="none" w:sz="0" w:space="0" w:color="auto"/>
        <w:left w:val="none" w:sz="0" w:space="0" w:color="auto"/>
        <w:bottom w:val="none" w:sz="0" w:space="0" w:color="auto"/>
        <w:right w:val="none" w:sz="0" w:space="0" w:color="auto"/>
      </w:divBdr>
    </w:div>
    <w:div w:id="1786345778">
      <w:bodyDiv w:val="1"/>
      <w:marLeft w:val="0"/>
      <w:marRight w:val="0"/>
      <w:marTop w:val="0"/>
      <w:marBottom w:val="0"/>
      <w:divBdr>
        <w:top w:val="none" w:sz="0" w:space="0" w:color="auto"/>
        <w:left w:val="none" w:sz="0" w:space="0" w:color="auto"/>
        <w:bottom w:val="none" w:sz="0" w:space="0" w:color="auto"/>
        <w:right w:val="none" w:sz="0" w:space="0" w:color="auto"/>
      </w:divBdr>
    </w:div>
    <w:div w:id="204651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5A6C-3021-443C-A2EF-13251084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1660</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Acosta Gutierrez</dc:creator>
  <cp:lastModifiedBy>Yolanda Patino Chacon</cp:lastModifiedBy>
  <cp:revision>14</cp:revision>
  <cp:lastPrinted>2017-10-09T19:22:00Z</cp:lastPrinted>
  <dcterms:created xsi:type="dcterms:W3CDTF">2017-11-03T16:06:00Z</dcterms:created>
  <dcterms:modified xsi:type="dcterms:W3CDTF">2017-11-15T13:19:00Z</dcterms:modified>
</cp:coreProperties>
</file>