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44" w:rsidRDefault="00186F44" w:rsidP="006863A5">
      <w:pPr>
        <w:pStyle w:val="Textoindependiente"/>
        <w:jc w:val="center"/>
        <w:rPr>
          <w:rFonts w:cs="Arial"/>
          <w:b/>
          <w:szCs w:val="24"/>
          <w:lang w:val="es-CO"/>
        </w:rPr>
      </w:pPr>
    </w:p>
    <w:p w:rsidR="00186F44" w:rsidRPr="00651B9E" w:rsidRDefault="00186F44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</w:p>
    <w:p w:rsidR="00D5445E" w:rsidRPr="00651B9E" w:rsidRDefault="00D5445E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b/>
          <w:sz w:val="22"/>
          <w:szCs w:val="22"/>
          <w:lang w:val="es-CO"/>
        </w:rPr>
        <w:t>MEMORIA JUSTIFICATIVA</w:t>
      </w:r>
    </w:p>
    <w:p w:rsidR="00153B60" w:rsidRPr="00651B9E" w:rsidRDefault="00153B60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</w:p>
    <w:p w:rsidR="00186F44" w:rsidRPr="00651B9E" w:rsidRDefault="00186F44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</w:p>
    <w:p w:rsidR="00D5445E" w:rsidRPr="00651B9E" w:rsidRDefault="00D5445E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b/>
          <w:sz w:val="22"/>
          <w:szCs w:val="22"/>
          <w:lang w:val="es-CO"/>
        </w:rPr>
        <w:t xml:space="preserve">PROYECTO DE </w:t>
      </w:r>
      <w:r w:rsidR="00B37DE7" w:rsidRPr="00651B9E">
        <w:rPr>
          <w:rFonts w:cs="Arial"/>
          <w:b/>
          <w:sz w:val="22"/>
          <w:szCs w:val="22"/>
          <w:lang w:val="es-CO"/>
        </w:rPr>
        <w:t>RESOLUCIÓN</w:t>
      </w:r>
    </w:p>
    <w:p w:rsidR="00153B60" w:rsidRPr="00651B9E" w:rsidRDefault="00153B60" w:rsidP="006863A5">
      <w:pPr>
        <w:pStyle w:val="Textoindependiente"/>
        <w:jc w:val="center"/>
        <w:rPr>
          <w:rFonts w:cs="Arial"/>
          <w:b/>
          <w:i/>
          <w:sz w:val="22"/>
          <w:szCs w:val="22"/>
          <w:lang w:val="es-CO"/>
        </w:rPr>
      </w:pPr>
    </w:p>
    <w:p w:rsidR="00186F44" w:rsidRPr="00651B9E" w:rsidRDefault="00186F44" w:rsidP="006863A5">
      <w:pPr>
        <w:pStyle w:val="Textoindependiente"/>
        <w:jc w:val="center"/>
        <w:rPr>
          <w:rFonts w:cs="Arial"/>
          <w:b/>
          <w:i/>
          <w:sz w:val="22"/>
          <w:szCs w:val="22"/>
          <w:lang w:val="es-CO"/>
        </w:rPr>
      </w:pPr>
    </w:p>
    <w:p w:rsidR="00186F44" w:rsidRDefault="00DB773A" w:rsidP="00914572">
      <w:pPr>
        <w:pStyle w:val="Textoindependiente"/>
        <w:jc w:val="center"/>
        <w:rPr>
          <w:rFonts w:eastAsia="Arial" w:cs="Arial"/>
          <w:i/>
          <w:sz w:val="22"/>
          <w:szCs w:val="22"/>
          <w:lang w:val="es-CO" w:eastAsia="en-US"/>
        </w:rPr>
      </w:pPr>
      <w:r>
        <w:rPr>
          <w:rFonts w:eastAsia="Arial" w:cs="Arial"/>
          <w:i/>
          <w:sz w:val="22"/>
          <w:szCs w:val="22"/>
          <w:lang w:val="es-CO" w:eastAsia="en-US"/>
        </w:rPr>
        <w:t>“</w:t>
      </w:r>
      <w:r w:rsidR="00914572">
        <w:rPr>
          <w:rFonts w:eastAsia="Arial" w:cs="Arial"/>
          <w:i/>
          <w:sz w:val="22"/>
          <w:szCs w:val="22"/>
          <w:lang w:val="es-CO" w:eastAsia="en-US"/>
        </w:rPr>
        <w:t xml:space="preserve">Por la cual </w:t>
      </w:r>
      <w:r w:rsidR="00914572" w:rsidRPr="00914572">
        <w:rPr>
          <w:rFonts w:eastAsia="Arial" w:cs="Arial"/>
          <w:i/>
          <w:sz w:val="22"/>
          <w:szCs w:val="22"/>
          <w:lang w:val="es-CO" w:eastAsia="en-US"/>
        </w:rPr>
        <w:t>se define el esquema de incentivos para el aprovechamiento y la explotación integral de los recursos naturales no renovables y se establece la metodología para su distribución, aplicación y asignación, para el bienio 2017-2018  y se determinan los cupos para las entidades territoriales beneficiarias</w:t>
      </w:r>
      <w:r>
        <w:rPr>
          <w:rFonts w:eastAsia="Arial" w:cs="Arial"/>
          <w:i/>
          <w:sz w:val="22"/>
          <w:szCs w:val="22"/>
          <w:lang w:val="es-CO" w:eastAsia="en-US"/>
        </w:rPr>
        <w:t>”</w:t>
      </w:r>
    </w:p>
    <w:p w:rsidR="00D62E38" w:rsidRPr="00651B9E" w:rsidRDefault="00D62E38" w:rsidP="006863A5">
      <w:pPr>
        <w:pStyle w:val="Textoindependiente"/>
        <w:jc w:val="center"/>
        <w:rPr>
          <w:rFonts w:eastAsia="Arial" w:cs="Arial"/>
          <w:i/>
          <w:sz w:val="22"/>
          <w:szCs w:val="22"/>
          <w:lang w:val="es-CO" w:eastAsia="en-US"/>
        </w:rPr>
      </w:pPr>
    </w:p>
    <w:p w:rsidR="00186F44" w:rsidRPr="00651B9E" w:rsidRDefault="00186F44" w:rsidP="006863A5">
      <w:pPr>
        <w:pStyle w:val="Textoindependiente"/>
        <w:jc w:val="center"/>
        <w:rPr>
          <w:rFonts w:eastAsia="Arial" w:cs="Arial"/>
          <w:i/>
          <w:sz w:val="22"/>
          <w:szCs w:val="22"/>
          <w:lang w:val="es-CO" w:eastAsia="en-US"/>
        </w:rPr>
      </w:pPr>
    </w:p>
    <w:p w:rsidR="00D5445E" w:rsidRPr="00651B9E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b/>
          <w:sz w:val="22"/>
          <w:szCs w:val="22"/>
          <w:lang w:val="es-CO"/>
        </w:rPr>
        <w:t>ANTECEDENTES, OPORTUNIDAD Y CONVENIENCIA</w:t>
      </w:r>
    </w:p>
    <w:p w:rsidR="00D5445E" w:rsidRPr="00651B9E" w:rsidRDefault="00D5445E" w:rsidP="006863A5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:rsidR="00DB773A" w:rsidRDefault="00DB773A" w:rsidP="00DB773A">
      <w:pPr>
        <w:pStyle w:val="Default"/>
        <w:jc w:val="both"/>
        <w:rPr>
          <w:spacing w:val="-3"/>
          <w:sz w:val="22"/>
          <w:szCs w:val="22"/>
        </w:rPr>
      </w:pPr>
    </w:p>
    <w:p w:rsidR="00DB773A" w:rsidRPr="00977069" w:rsidRDefault="00DB773A" w:rsidP="00DB773A">
      <w:pPr>
        <w:pStyle w:val="Default"/>
        <w:jc w:val="both"/>
        <w:rPr>
          <w:i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</w:t>
      </w:r>
      <w:r w:rsidRPr="00DB773A">
        <w:rPr>
          <w:spacing w:val="-3"/>
          <w:sz w:val="22"/>
          <w:szCs w:val="22"/>
        </w:rPr>
        <w:t>l numeral 8 del Artículo 2° de la Ley 1530 de 2012 señala que uno de los fines del Sistema General de Regalías es:</w:t>
      </w:r>
      <w:r>
        <w:rPr>
          <w:spacing w:val="-3"/>
          <w:sz w:val="22"/>
          <w:szCs w:val="22"/>
        </w:rPr>
        <w:t xml:space="preserve"> </w:t>
      </w:r>
      <w:r w:rsidRPr="00977069">
        <w:rPr>
          <w:i/>
          <w:spacing w:val="-3"/>
          <w:sz w:val="22"/>
          <w:szCs w:val="22"/>
        </w:rPr>
        <w:t>“(…) 8. Incentivar o propiciar la inversión en la restauración social y económica de los territorios donde se desarrollen actividades de exploración y explotación de recursos naturales no renovables, así como en la protección y recuperación ambiental, sin perjuicio de la responsabilidad ambiental que le asiste a las empresas que adelanten dichas actividades, en virtud de la cual deben adelantar acciones de conservación y recuperación ambiental en los territorios en los que se lleven a cabo tales actividades.”</w:t>
      </w:r>
    </w:p>
    <w:p w:rsidR="00DB773A" w:rsidRPr="00977069" w:rsidRDefault="00DB773A" w:rsidP="00DB773A">
      <w:pPr>
        <w:pStyle w:val="Default"/>
        <w:jc w:val="both"/>
        <w:rPr>
          <w:i/>
          <w:spacing w:val="-3"/>
          <w:sz w:val="22"/>
          <w:szCs w:val="22"/>
        </w:rPr>
      </w:pPr>
    </w:p>
    <w:p w:rsidR="00DB773A" w:rsidRPr="00977069" w:rsidRDefault="00DB773A" w:rsidP="00DB773A">
      <w:pPr>
        <w:pStyle w:val="Default"/>
        <w:jc w:val="both"/>
        <w:rPr>
          <w:i/>
          <w:spacing w:val="-3"/>
          <w:sz w:val="22"/>
          <w:szCs w:val="22"/>
        </w:rPr>
      </w:pPr>
      <w:r w:rsidRPr="00DB773A">
        <w:rPr>
          <w:spacing w:val="-3"/>
          <w:sz w:val="22"/>
          <w:szCs w:val="22"/>
        </w:rPr>
        <w:t xml:space="preserve">De acuerdo con lo anterior, el Congreso de la República aprobó la creación de los incentivos a la producción, mediante </w:t>
      </w:r>
      <w:r w:rsidR="00726AA3">
        <w:rPr>
          <w:spacing w:val="-3"/>
          <w:sz w:val="22"/>
          <w:szCs w:val="22"/>
        </w:rPr>
        <w:t xml:space="preserve">el </w:t>
      </w:r>
      <w:r w:rsidRPr="00DB773A">
        <w:rPr>
          <w:spacing w:val="-3"/>
          <w:sz w:val="22"/>
          <w:szCs w:val="22"/>
        </w:rPr>
        <w:t>artículo 38 de la Ley 1744 de 2014, que señala</w:t>
      </w:r>
      <w:r w:rsidR="00726AA3">
        <w:rPr>
          <w:spacing w:val="-3"/>
          <w:sz w:val="22"/>
          <w:szCs w:val="22"/>
        </w:rPr>
        <w:t xml:space="preserve"> que </w:t>
      </w:r>
      <w:r w:rsidR="00726AA3">
        <w:rPr>
          <w:i/>
          <w:spacing w:val="-3"/>
          <w:sz w:val="22"/>
          <w:szCs w:val="22"/>
        </w:rPr>
        <w:t>“…</w:t>
      </w:r>
      <w:r w:rsidRPr="00977069">
        <w:rPr>
          <w:i/>
          <w:spacing w:val="-3"/>
          <w:sz w:val="22"/>
          <w:szCs w:val="22"/>
        </w:rPr>
        <w:t>El Ministerio de Minas y Energía, en ejercicio de sus funciones, incentivará el aprovechamiento y la explotación integral de los recursos naturales no renovables.</w:t>
      </w:r>
      <w:r w:rsidR="00977069">
        <w:rPr>
          <w:i/>
          <w:spacing w:val="-3"/>
          <w:sz w:val="22"/>
          <w:szCs w:val="22"/>
        </w:rPr>
        <w:t>”</w:t>
      </w:r>
    </w:p>
    <w:p w:rsidR="00DB773A" w:rsidRPr="00DB773A" w:rsidRDefault="00DB773A" w:rsidP="00DB773A">
      <w:pPr>
        <w:pStyle w:val="Default"/>
        <w:jc w:val="both"/>
        <w:rPr>
          <w:spacing w:val="-3"/>
          <w:sz w:val="22"/>
          <w:szCs w:val="22"/>
        </w:rPr>
      </w:pPr>
    </w:p>
    <w:p w:rsidR="008232CB" w:rsidRPr="00F705EF" w:rsidRDefault="008232CB" w:rsidP="008232CB">
      <w:pPr>
        <w:jc w:val="both"/>
        <w:rPr>
          <w:rFonts w:cs="Arial"/>
          <w:i/>
        </w:rPr>
      </w:pPr>
      <w:r>
        <w:rPr>
          <w:rFonts w:cs="Arial"/>
        </w:rPr>
        <w:t xml:space="preserve">El artículo 22 de la Ley 1530 de 2012 consagra que: </w:t>
      </w:r>
      <w:r w:rsidRPr="00F705EF">
        <w:rPr>
          <w:rFonts w:cs="Arial"/>
          <w:i/>
        </w:rPr>
        <w:t>“Con los recursos del Sistema General de Regalías se podrán financiar proyectos de inversión y la estructuración de proyectos, como componentes de un proyecto de inversión o presentados en forma individual. Los proyectos de inversión podrán incluir las fases de operación y mantenimiento, siempre y cuando esté definido en los mismos el horizonte de realización. En todo caso, no podrán financiarse gastos permanentes</w:t>
      </w:r>
      <w:r>
        <w:rPr>
          <w:rFonts w:cs="Arial"/>
          <w:i/>
        </w:rPr>
        <w:t>…”</w:t>
      </w:r>
      <w:r w:rsidRPr="00F705EF">
        <w:rPr>
          <w:rFonts w:cs="Arial"/>
          <w:i/>
        </w:rPr>
        <w:t>.</w:t>
      </w:r>
    </w:p>
    <w:p w:rsidR="008232CB" w:rsidRDefault="006072F4" w:rsidP="004B65CE">
      <w:pPr>
        <w:jc w:val="both"/>
        <w:rPr>
          <w:rFonts w:cs="Arial"/>
        </w:rPr>
      </w:pPr>
      <w:r>
        <w:rPr>
          <w:spacing w:val="-3"/>
        </w:rPr>
        <w:t>Con base en las mencionadas disposiciones, e</w:t>
      </w:r>
      <w:r w:rsidR="008232CB" w:rsidRPr="00651B9E">
        <w:rPr>
          <w:spacing w:val="-3"/>
        </w:rPr>
        <w:t xml:space="preserve">l Ministerio de Minas y Energía </w:t>
      </w:r>
      <w:r w:rsidR="008232CB">
        <w:rPr>
          <w:spacing w:val="-3"/>
        </w:rPr>
        <w:t>expidió</w:t>
      </w:r>
      <w:r w:rsidR="008232CB" w:rsidRPr="00651B9E">
        <w:rPr>
          <w:spacing w:val="-3"/>
        </w:rPr>
        <w:t xml:space="preserve"> la Resolución </w:t>
      </w:r>
      <w:r w:rsidR="008232CB">
        <w:rPr>
          <w:spacing w:val="-3"/>
        </w:rPr>
        <w:t xml:space="preserve">4 0608 de 2016 </w:t>
      </w:r>
      <w:r w:rsidR="008232CB" w:rsidRPr="00BF657D">
        <w:rPr>
          <w:i/>
          <w:spacing w:val="-3"/>
        </w:rPr>
        <w:t>“</w:t>
      </w:r>
      <w:r w:rsidR="008232CB" w:rsidRPr="00BF657D">
        <w:rPr>
          <w:i/>
        </w:rPr>
        <w:t>Por la cual se define el esquema de incentivos por el aprovechamiento y la explotación integral de los recursos naturales no renovables y se establece la metodología para su aplicación y asignación, para la vigencia 201</w:t>
      </w:r>
      <w:r w:rsidR="008232CB">
        <w:rPr>
          <w:i/>
        </w:rPr>
        <w:t>6</w:t>
      </w:r>
      <w:r w:rsidR="008232CB">
        <w:t xml:space="preserve">”, asignando recursos por </w:t>
      </w:r>
      <w:r w:rsidR="008232CB">
        <w:rPr>
          <w:rFonts w:cs="Arial"/>
        </w:rPr>
        <w:t xml:space="preserve">NOVENTA MIL QUINIENTOS NOVENTA Y CUATRO MILLONES </w:t>
      </w:r>
      <w:r w:rsidR="008232CB" w:rsidRPr="004C180B">
        <w:rPr>
          <w:rFonts w:cs="Arial"/>
        </w:rPr>
        <w:lastRenderedPageBreak/>
        <w:t>CUATROCIENTOS CUATRO MIL SETECIENTOS SETENTA Y NUEVE PESOS M/TCE ($90.594.404.779)</w:t>
      </w:r>
      <w:r w:rsidR="008232CB">
        <w:rPr>
          <w:rFonts w:cs="Arial"/>
        </w:rPr>
        <w:t xml:space="preserve"> </w:t>
      </w:r>
      <w:r w:rsidR="008232CB">
        <w:t>entre 88 municipios productores de carbón, níquel, gas y crudo.</w:t>
      </w:r>
    </w:p>
    <w:p w:rsidR="004B65CE" w:rsidRPr="00B656E7" w:rsidRDefault="006072F4" w:rsidP="004B65CE">
      <w:pPr>
        <w:jc w:val="both"/>
        <w:rPr>
          <w:rFonts w:cs="Arial"/>
        </w:rPr>
      </w:pPr>
      <w:r>
        <w:rPr>
          <w:rFonts w:cs="Arial"/>
        </w:rPr>
        <w:t>Posteriormente, e</w:t>
      </w:r>
      <w:r w:rsidR="008232CB">
        <w:rPr>
          <w:rFonts w:cs="Arial"/>
        </w:rPr>
        <w:t>l</w:t>
      </w:r>
      <w:r w:rsidR="004B65CE" w:rsidRPr="00B656E7">
        <w:rPr>
          <w:rFonts w:cs="Arial"/>
        </w:rPr>
        <w:t xml:space="preserve"> num</w:t>
      </w:r>
      <w:r w:rsidR="004B65CE">
        <w:rPr>
          <w:rFonts w:cs="Arial"/>
        </w:rPr>
        <w:t>eral 2 del artículo 8 del Decreto 2190 de 2016</w:t>
      </w:r>
      <w:r w:rsidR="004B65CE" w:rsidRPr="00B656E7">
        <w:rPr>
          <w:rFonts w:cs="Arial"/>
        </w:rPr>
        <w:t xml:space="preserve"> “</w:t>
      </w:r>
      <w:r w:rsidR="004B65CE" w:rsidRPr="00B656E7">
        <w:rPr>
          <w:rFonts w:cs="Arial"/>
          <w:i/>
        </w:rPr>
        <w:t xml:space="preserve">Por </w:t>
      </w:r>
      <w:r w:rsidR="004B65CE">
        <w:rPr>
          <w:rFonts w:cs="Arial"/>
          <w:i/>
        </w:rPr>
        <w:t xml:space="preserve">el </w:t>
      </w:r>
      <w:r w:rsidR="004B65CE" w:rsidRPr="00B656E7">
        <w:rPr>
          <w:rFonts w:cs="Arial"/>
          <w:i/>
        </w:rPr>
        <w:t>cual se decreta el Presupuesto del Sistema General de Regalías para el bienio del 1° de enero de 2017 al 31 de diciembre de 2018”,</w:t>
      </w:r>
      <w:r w:rsidR="004B65CE" w:rsidRPr="00B656E7">
        <w:rPr>
          <w:rFonts w:cs="Arial"/>
        </w:rPr>
        <w:t xml:space="preserve"> destin</w:t>
      </w:r>
      <w:r w:rsidR="004B65CE">
        <w:rPr>
          <w:rFonts w:cs="Arial"/>
        </w:rPr>
        <w:t>ó</w:t>
      </w:r>
      <w:r w:rsidR="004B65CE" w:rsidRPr="00B656E7">
        <w:rPr>
          <w:rFonts w:cs="Arial"/>
        </w:rPr>
        <w:t xml:space="preserve"> la suma de CIENTO SETENTA Y DOS MIL CIEN MILLONES NOVECIENTOS VEINTIDÓS MIL SEISCIENTOS VEINTITRÉS PESOS MONEDA LEGAL ($172.100.922.623) al Presupuesto de Gastos de las Entidades Receptoras Directas de Regalías y Compensaciones del Sistema General de Regalías para el </w:t>
      </w:r>
      <w:r w:rsidR="004B65CE">
        <w:rPr>
          <w:rFonts w:cs="Arial"/>
        </w:rPr>
        <w:t>período mencionado</w:t>
      </w:r>
      <w:r w:rsidR="004B65CE" w:rsidRPr="00B656E7">
        <w:rPr>
          <w:rFonts w:cs="Arial"/>
        </w:rPr>
        <w:t>.</w:t>
      </w:r>
    </w:p>
    <w:p w:rsidR="006C2E95" w:rsidRPr="00FE555C" w:rsidRDefault="006C2E95" w:rsidP="006C2E95">
      <w:pPr>
        <w:jc w:val="both"/>
        <w:rPr>
          <w:rFonts w:cs="Arial"/>
        </w:rPr>
      </w:pPr>
      <w:r w:rsidRPr="00FE555C">
        <w:rPr>
          <w:rFonts w:cs="Arial"/>
        </w:rPr>
        <w:t>La Agencia Nacional de Hidrocarburos mediante oficios radicados 2016088442 del 30 de diciembre de 2016 y 2017034529 del 30 de mayo de 2017 allegó la información relacionada con la producción de crudo y gas para el año 2016.</w:t>
      </w:r>
    </w:p>
    <w:p w:rsidR="006C2E95" w:rsidRPr="00FE555C" w:rsidRDefault="006C2E95" w:rsidP="006C2E95">
      <w:pPr>
        <w:jc w:val="both"/>
        <w:rPr>
          <w:rFonts w:cs="Arial"/>
        </w:rPr>
      </w:pPr>
      <w:r w:rsidRPr="00FE555C">
        <w:rPr>
          <w:rFonts w:cs="Arial"/>
        </w:rPr>
        <w:t>Asimismo, a través de oficios radicados 2017003791 del 23 de enero de 2017 y 2017039401 del 20 de junio de 2017, la Agencia Nacional de Minería certificó los municipios productores de carbón y níquel y certificó la producción definitiva de carbón y níquel para el año 2016.</w:t>
      </w:r>
    </w:p>
    <w:p w:rsidR="004B65CE" w:rsidRPr="00B656E7" w:rsidRDefault="00B21C2F" w:rsidP="004B65CE">
      <w:pPr>
        <w:jc w:val="both"/>
        <w:rPr>
          <w:rFonts w:cs="Arial"/>
        </w:rPr>
      </w:pPr>
      <w:r>
        <w:rPr>
          <w:rFonts w:cs="Arial"/>
        </w:rPr>
        <w:t>En virtud de lo establecido en el</w:t>
      </w:r>
      <w:r w:rsidR="004B65CE" w:rsidRPr="00B656E7">
        <w:rPr>
          <w:rFonts w:cs="Arial"/>
        </w:rPr>
        <w:t xml:space="preserve"> par</w:t>
      </w:r>
      <w:r w:rsidR="004B65CE">
        <w:rPr>
          <w:rFonts w:cs="Arial"/>
        </w:rPr>
        <w:t xml:space="preserve">ágrafo del artículo 8 del Decreto 2190 de 2016 </w:t>
      </w:r>
      <w:r w:rsidR="006072F4">
        <w:rPr>
          <w:rFonts w:cs="Arial"/>
        </w:rPr>
        <w:t xml:space="preserve">el </w:t>
      </w:r>
      <w:r w:rsidR="004B65CE" w:rsidRPr="00B656E7">
        <w:rPr>
          <w:rFonts w:cs="Arial"/>
        </w:rPr>
        <w:t xml:space="preserve">Ministerio de Minas y Energía </w:t>
      </w:r>
      <w:r w:rsidR="006072F4">
        <w:rPr>
          <w:rFonts w:cs="Arial"/>
        </w:rPr>
        <w:t xml:space="preserve">se encuentra facultado para </w:t>
      </w:r>
      <w:r w:rsidR="004B65CE" w:rsidRPr="00B656E7">
        <w:rPr>
          <w:rFonts w:cs="Arial"/>
        </w:rPr>
        <w:t xml:space="preserve">elaborar la metodología de </w:t>
      </w:r>
      <w:r w:rsidR="004B65CE">
        <w:rPr>
          <w:rFonts w:cs="Arial"/>
        </w:rPr>
        <w:t xml:space="preserve">distribución, </w:t>
      </w:r>
      <w:r w:rsidR="004B65CE" w:rsidRPr="00B656E7">
        <w:rPr>
          <w:rFonts w:cs="Arial"/>
        </w:rPr>
        <w:t>aplicación y asignación del incentivo para el aprovechamiento y la explotación integral de los recursos naturales no renovables, basados en la sostenibilidad o mejoramiento de los volúmenes de producción, de las entidades territoriales productoras que resulten beneficiadas.</w:t>
      </w:r>
    </w:p>
    <w:p w:rsidR="00D5445E" w:rsidRPr="00651B9E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b/>
          <w:sz w:val="22"/>
          <w:szCs w:val="22"/>
          <w:lang w:val="es-CO"/>
        </w:rPr>
        <w:t>AMBITO DE APLICACIÓN</w:t>
      </w:r>
    </w:p>
    <w:p w:rsidR="00D5445E" w:rsidRPr="00651B9E" w:rsidRDefault="00D5445E" w:rsidP="006863A5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:rsidR="00B37DE7" w:rsidRDefault="00546D97" w:rsidP="00B37DE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  <w:r w:rsidRPr="00651B9E">
        <w:rPr>
          <w:rFonts w:cs="Arial"/>
        </w:rPr>
        <w:t>El proyecto de r</w:t>
      </w:r>
      <w:r w:rsidR="00B37DE7" w:rsidRPr="00651B9E">
        <w:rPr>
          <w:rFonts w:cs="Arial"/>
        </w:rPr>
        <w:t>esolución</w:t>
      </w:r>
      <w:r w:rsidR="00D5445E" w:rsidRPr="00651B9E">
        <w:rPr>
          <w:rFonts w:cs="Arial"/>
        </w:rPr>
        <w:t xml:space="preserve"> en mención aplica </w:t>
      </w:r>
      <w:r w:rsidR="00A65D87" w:rsidRPr="00651B9E">
        <w:rPr>
          <w:rFonts w:cs="Arial"/>
        </w:rPr>
        <w:t xml:space="preserve">para </w:t>
      </w:r>
      <w:r w:rsidR="00DB773A">
        <w:rPr>
          <w:rFonts w:eastAsia="Times New Roman" w:cs="Arial"/>
          <w:lang w:eastAsia="es-CO"/>
        </w:rPr>
        <w:t>los municipios productores de</w:t>
      </w:r>
      <w:r w:rsidR="006072F4">
        <w:rPr>
          <w:rFonts w:eastAsia="Times New Roman" w:cs="Arial"/>
          <w:lang w:eastAsia="es-CO"/>
        </w:rPr>
        <w:t xml:space="preserve"> crudo,</w:t>
      </w:r>
      <w:r w:rsidR="00DB773A">
        <w:rPr>
          <w:rFonts w:eastAsia="Times New Roman" w:cs="Arial"/>
          <w:lang w:eastAsia="es-CO"/>
        </w:rPr>
        <w:t xml:space="preserve"> carbón, </w:t>
      </w:r>
      <w:r w:rsidR="006072F4">
        <w:rPr>
          <w:rFonts w:eastAsia="Times New Roman" w:cs="Arial"/>
          <w:lang w:eastAsia="es-CO"/>
        </w:rPr>
        <w:t xml:space="preserve">gas y </w:t>
      </w:r>
      <w:r w:rsidR="00DB773A">
        <w:rPr>
          <w:rFonts w:eastAsia="Times New Roman" w:cs="Arial"/>
          <w:lang w:eastAsia="es-CO"/>
        </w:rPr>
        <w:t>níquel</w:t>
      </w:r>
      <w:r w:rsidR="006072F4">
        <w:rPr>
          <w:rFonts w:eastAsia="Times New Roman" w:cs="Arial"/>
          <w:lang w:eastAsia="es-CO"/>
        </w:rPr>
        <w:t>,</w:t>
      </w:r>
      <w:r w:rsidR="00D62B53">
        <w:rPr>
          <w:rFonts w:eastAsia="Times New Roman" w:cs="Arial"/>
          <w:lang w:eastAsia="es-CO"/>
        </w:rPr>
        <w:t xml:space="preserve"> señalados en el Anexo I del proyecto y </w:t>
      </w:r>
      <w:r w:rsidR="00DB773A">
        <w:rPr>
          <w:rFonts w:eastAsia="Times New Roman" w:cs="Arial"/>
          <w:lang w:eastAsia="es-CO"/>
        </w:rPr>
        <w:t xml:space="preserve"> que cumplen con las condiciones previstas por e</w:t>
      </w:r>
      <w:r w:rsidR="00306327">
        <w:rPr>
          <w:rFonts w:eastAsia="Times New Roman" w:cs="Arial"/>
          <w:lang w:eastAsia="es-CO"/>
        </w:rPr>
        <w:t>l Ministerio de Minas y Energía, de acuerdo con lo siguiente:</w:t>
      </w:r>
    </w:p>
    <w:p w:rsidR="00306327" w:rsidRDefault="00306327" w:rsidP="00B37DE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</w:p>
    <w:p w:rsidR="00306327" w:rsidRPr="00306327" w:rsidRDefault="00306327" w:rsidP="0030632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  <w:r w:rsidRPr="00306327">
        <w:rPr>
          <w:rFonts w:eastAsia="Times New Roman" w:cs="Arial"/>
          <w:lang w:eastAsia="es-CO"/>
        </w:rPr>
        <w:t>Para efectos de la asignación del incentivo de que trata el numeral 2 del artículo 8 del Decreto 2190 de 2016, se considera como beneficiario del incentivo a la producción 2017-2018 aquel municipio productor que cumpla con las siguientes condiciones:</w:t>
      </w:r>
    </w:p>
    <w:p w:rsidR="00306327" w:rsidRPr="00306327" w:rsidRDefault="00306327" w:rsidP="0030632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</w:p>
    <w:p w:rsidR="00306327" w:rsidRPr="00306327" w:rsidRDefault="00306327" w:rsidP="0030632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  <w:r w:rsidRPr="00306327">
        <w:rPr>
          <w:rFonts w:eastAsia="Times New Roman" w:cs="Arial"/>
          <w:lang w:eastAsia="es-CO"/>
        </w:rPr>
        <w:t>a.</w:t>
      </w:r>
      <w:r w:rsidRPr="00306327">
        <w:rPr>
          <w:rFonts w:eastAsia="Times New Roman" w:cs="Arial"/>
          <w:lang w:eastAsia="es-CO"/>
        </w:rPr>
        <w:tab/>
        <w:t>De conformidad con la certificación emitida por la Agencia Nacional de Hidrocarburos o la Agencia Nacional de Minería, según corresponda, clasificarse como municipio productor en el año 2016 de los recursos naturales no renovables p</w:t>
      </w:r>
      <w:r w:rsidR="00B17235">
        <w:rPr>
          <w:rFonts w:eastAsia="Times New Roman" w:cs="Arial"/>
          <w:lang w:eastAsia="es-CO"/>
        </w:rPr>
        <w:t xml:space="preserve">revistos en el artículo 5 del proyecto de </w:t>
      </w:r>
      <w:r w:rsidRPr="00306327">
        <w:rPr>
          <w:rFonts w:eastAsia="Times New Roman" w:cs="Arial"/>
          <w:lang w:eastAsia="es-CO"/>
        </w:rPr>
        <w:t>Resolución.</w:t>
      </w:r>
    </w:p>
    <w:p w:rsidR="00306327" w:rsidRPr="00306327" w:rsidRDefault="00306327" w:rsidP="0030632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</w:p>
    <w:p w:rsidR="00306327" w:rsidRDefault="00306327" w:rsidP="0030632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  <w:r w:rsidRPr="00306327">
        <w:rPr>
          <w:rFonts w:eastAsia="Times New Roman" w:cs="Arial"/>
          <w:lang w:eastAsia="es-CO"/>
        </w:rPr>
        <w:lastRenderedPageBreak/>
        <w:t>b.</w:t>
      </w:r>
      <w:r w:rsidRPr="00306327">
        <w:rPr>
          <w:rFonts w:eastAsia="Times New Roman" w:cs="Arial"/>
          <w:lang w:eastAsia="es-CO"/>
        </w:rPr>
        <w:tab/>
        <w:t>Que su participación en el presupuesto de asignaciones directas dentro de los municipios productores certificados conforme al numeral anterior sea mayor al (0.0</w:t>
      </w:r>
      <w:r w:rsidR="00DF7591">
        <w:rPr>
          <w:rFonts w:eastAsia="Times New Roman" w:cs="Arial"/>
          <w:lang w:eastAsia="es-CO"/>
        </w:rPr>
        <w:t>2</w:t>
      </w:r>
      <w:r w:rsidRPr="00306327">
        <w:rPr>
          <w:rFonts w:eastAsia="Times New Roman" w:cs="Arial"/>
          <w:lang w:eastAsia="es-CO"/>
        </w:rPr>
        <w:t>%) de la totalidad del presupuesto de las asignaciones directas que recibirán los municipios productores, de conformidad con el Decreto 2190 de 2016.</w:t>
      </w:r>
    </w:p>
    <w:p w:rsidR="002A14FF" w:rsidRDefault="002A14FF" w:rsidP="0030632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</w:p>
    <w:p w:rsidR="00B17235" w:rsidRDefault="002A14FF" w:rsidP="0030632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  <w:r>
        <w:rPr>
          <w:rFonts w:eastAsia="Times New Roman" w:cs="Arial"/>
          <w:lang w:eastAsia="es-CO"/>
        </w:rPr>
        <w:t xml:space="preserve">En relación con el </w:t>
      </w:r>
      <w:r w:rsidR="00B17235">
        <w:rPr>
          <w:rFonts w:eastAsia="Times New Roman" w:cs="Arial"/>
          <w:lang w:eastAsia="es-CO"/>
        </w:rPr>
        <w:t xml:space="preserve">porcentaje anteriormente indicado, </w:t>
      </w:r>
      <w:r>
        <w:rPr>
          <w:rFonts w:eastAsia="Times New Roman" w:cs="Arial"/>
          <w:lang w:eastAsia="es-CO"/>
        </w:rPr>
        <w:t xml:space="preserve">el incentivo </w:t>
      </w:r>
      <w:r w:rsidR="00B17235">
        <w:rPr>
          <w:rFonts w:eastAsia="Times New Roman" w:cs="Arial"/>
          <w:lang w:eastAsia="es-CO"/>
        </w:rPr>
        <w:t xml:space="preserve">se determina de acuerdo con el monto de recursos </w:t>
      </w:r>
      <w:r>
        <w:rPr>
          <w:rFonts w:eastAsia="Times New Roman" w:cs="Arial"/>
          <w:lang w:eastAsia="es-CO"/>
        </w:rPr>
        <w:t xml:space="preserve">por este concepto, </w:t>
      </w:r>
      <w:r w:rsidR="00B17235">
        <w:rPr>
          <w:rFonts w:eastAsia="Times New Roman" w:cs="Arial"/>
          <w:lang w:eastAsia="es-CO"/>
        </w:rPr>
        <w:t xml:space="preserve">a distribuir en el bienio 2017-2018, que </w:t>
      </w:r>
      <w:r>
        <w:rPr>
          <w:rFonts w:eastAsia="Times New Roman" w:cs="Arial"/>
          <w:lang w:eastAsia="es-CO"/>
        </w:rPr>
        <w:t xml:space="preserve">corresponde a </w:t>
      </w:r>
      <w:r w:rsidR="00B17235" w:rsidRPr="00B17235">
        <w:rPr>
          <w:rFonts w:eastAsia="Times New Roman" w:cs="Arial"/>
          <w:lang w:eastAsia="es-CO"/>
        </w:rPr>
        <w:t>CIENTO SETENTA Y DOS MIL CIEN MILLONES NOVECIENTOS VEINTIDÓS MIL SEISCIENTOS VEINTITRÉS PESOS MONEDA LEGAL ($172.100.922.623)</w:t>
      </w:r>
      <w:r w:rsidR="00B17235">
        <w:rPr>
          <w:rFonts w:eastAsia="Times New Roman" w:cs="Arial"/>
          <w:lang w:eastAsia="es-CO"/>
        </w:rPr>
        <w:t xml:space="preserve"> y que, luego</w:t>
      </w:r>
      <w:r>
        <w:rPr>
          <w:rFonts w:eastAsia="Times New Roman" w:cs="Arial"/>
          <w:lang w:eastAsia="es-CO"/>
        </w:rPr>
        <w:t xml:space="preserve"> de</w:t>
      </w:r>
      <w:r w:rsidR="00B17235">
        <w:rPr>
          <w:rFonts w:eastAsia="Times New Roman" w:cs="Arial"/>
          <w:lang w:eastAsia="es-CO"/>
        </w:rPr>
        <w:t xml:space="preserve"> aplicar la fórmula establecida en el proyecto de resolución, </w:t>
      </w:r>
      <w:r>
        <w:rPr>
          <w:rFonts w:eastAsia="Times New Roman" w:cs="Arial"/>
          <w:lang w:eastAsia="es-CO"/>
        </w:rPr>
        <w:t xml:space="preserve">establece el </w:t>
      </w:r>
      <w:r w:rsidR="00B17235">
        <w:rPr>
          <w:rFonts w:eastAsia="Times New Roman" w:cs="Arial"/>
          <w:lang w:eastAsia="es-CO"/>
        </w:rPr>
        <w:t xml:space="preserve">valor a asignar a cada municipio </w:t>
      </w:r>
      <w:r>
        <w:rPr>
          <w:rFonts w:eastAsia="Times New Roman" w:cs="Arial"/>
          <w:lang w:eastAsia="es-CO"/>
        </w:rPr>
        <w:t xml:space="preserve">para </w:t>
      </w:r>
      <w:r w:rsidR="00B17235">
        <w:rPr>
          <w:rFonts w:eastAsia="Times New Roman" w:cs="Arial"/>
          <w:lang w:eastAsia="es-CO"/>
        </w:rPr>
        <w:t>la ejecución del recurso en proyectos de inversión</w:t>
      </w:r>
      <w:r w:rsidR="00D361D8">
        <w:rPr>
          <w:rFonts w:eastAsia="Times New Roman" w:cs="Arial"/>
          <w:lang w:eastAsia="es-CO"/>
        </w:rPr>
        <w:t>, en la forma establecida en el parágrafo del artículo 8 del Decreto 2190 de 2016</w:t>
      </w:r>
      <w:r w:rsidR="00B17235">
        <w:rPr>
          <w:rFonts w:eastAsia="Times New Roman" w:cs="Arial"/>
          <w:lang w:eastAsia="es-CO"/>
        </w:rPr>
        <w:t xml:space="preserve">. </w:t>
      </w:r>
    </w:p>
    <w:p w:rsidR="00B17235" w:rsidRDefault="00B17235" w:rsidP="0030632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</w:p>
    <w:p w:rsidR="00306327" w:rsidRDefault="00306327" w:rsidP="00306327">
      <w:pPr>
        <w:shd w:val="clear" w:color="auto" w:fill="FFFFFF"/>
        <w:spacing w:after="0" w:line="240" w:lineRule="auto"/>
        <w:ind w:right="51"/>
        <w:jc w:val="both"/>
        <w:rPr>
          <w:rFonts w:eastAsia="Times New Roman" w:cs="Arial"/>
          <w:lang w:eastAsia="es-CO"/>
        </w:rPr>
      </w:pPr>
      <w:r w:rsidRPr="00306327">
        <w:rPr>
          <w:rFonts w:eastAsia="Times New Roman" w:cs="Arial"/>
          <w:lang w:eastAsia="es-CO"/>
        </w:rPr>
        <w:t>c.</w:t>
      </w:r>
      <w:r w:rsidRPr="00306327">
        <w:rPr>
          <w:rFonts w:eastAsia="Times New Roman" w:cs="Arial"/>
          <w:lang w:eastAsia="es-CO"/>
        </w:rPr>
        <w:tab/>
        <w:t>Si el municipio beneficiario accedió a los recursos del incentivo a la producción en el año 2015, deberá demostrar que llevó a cabo su ejecución mediante proyectos de inversión.</w:t>
      </w:r>
    </w:p>
    <w:p w:rsidR="00455D8E" w:rsidRPr="00651B9E" w:rsidRDefault="00455D8E" w:rsidP="006863A5">
      <w:pPr>
        <w:pStyle w:val="Textoindependiente"/>
        <w:rPr>
          <w:rFonts w:cs="Arial"/>
          <w:sz w:val="22"/>
          <w:szCs w:val="22"/>
          <w:lang w:val="es-CO"/>
        </w:rPr>
      </w:pPr>
    </w:p>
    <w:p w:rsidR="00AB6BDE" w:rsidRPr="00651B9E" w:rsidRDefault="00D5445E" w:rsidP="00AB6BDE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b/>
          <w:sz w:val="22"/>
          <w:szCs w:val="22"/>
          <w:lang w:val="es-CO"/>
        </w:rPr>
        <w:t>VIABILIDAD JURÍDICA</w:t>
      </w:r>
    </w:p>
    <w:p w:rsidR="00AB6BDE" w:rsidRPr="00651B9E" w:rsidRDefault="00AB6BDE" w:rsidP="00AB6BDE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:rsidR="00D5445E" w:rsidRPr="00651B9E" w:rsidRDefault="00D5445E" w:rsidP="00AB6BDE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b/>
          <w:sz w:val="22"/>
          <w:szCs w:val="22"/>
        </w:rPr>
        <w:t>3.1</w:t>
      </w:r>
      <w:r w:rsidR="00526C34" w:rsidRPr="00651B9E">
        <w:rPr>
          <w:rFonts w:cs="Arial"/>
          <w:b/>
          <w:sz w:val="22"/>
          <w:szCs w:val="22"/>
        </w:rPr>
        <w:t>. Análisis</w:t>
      </w:r>
      <w:r w:rsidRPr="00651B9E">
        <w:rPr>
          <w:rFonts w:cs="Arial"/>
          <w:b/>
          <w:sz w:val="22"/>
          <w:szCs w:val="22"/>
        </w:rPr>
        <w:t xml:space="preserve"> expreso y detallado de las normas que otorgan la competencia para la expedición del correspondiente acto</w:t>
      </w:r>
    </w:p>
    <w:p w:rsidR="00D5445E" w:rsidRPr="00651B9E" w:rsidRDefault="00D5445E" w:rsidP="0068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506453" w:rsidRDefault="00455D8E" w:rsidP="00455D8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51B9E">
        <w:rPr>
          <w:rFonts w:cs="Arial"/>
        </w:rPr>
        <w:t xml:space="preserve">El proyecto de Resolución se expide con base en las facultades </w:t>
      </w:r>
      <w:r w:rsidR="00186F44" w:rsidRPr="00651B9E">
        <w:rPr>
          <w:rFonts w:cs="Arial"/>
        </w:rPr>
        <w:t xml:space="preserve">conferidas en el </w:t>
      </w:r>
      <w:r w:rsidR="002401A6">
        <w:rPr>
          <w:rFonts w:cs="Arial"/>
        </w:rPr>
        <w:t>artículo 8</w:t>
      </w:r>
      <w:r w:rsidR="00FD198C">
        <w:rPr>
          <w:rFonts w:cs="Arial"/>
        </w:rPr>
        <w:t>°</w:t>
      </w:r>
      <w:r w:rsidR="007124ED">
        <w:rPr>
          <w:rFonts w:cs="Arial"/>
        </w:rPr>
        <w:t xml:space="preserve"> del Decreto 2190 de 2016 y</w:t>
      </w:r>
      <w:r w:rsidR="002401A6">
        <w:rPr>
          <w:rFonts w:cs="Arial"/>
        </w:rPr>
        <w:t xml:space="preserve"> el numeral 8 del artículo 2 de la Ley 1530 de 2012</w:t>
      </w:r>
      <w:r w:rsidR="00506453">
        <w:rPr>
          <w:rFonts w:cs="Arial"/>
        </w:rPr>
        <w:t xml:space="preserve">, las cuales se mencionaron en el numeral </w:t>
      </w:r>
      <w:r w:rsidR="00B52E96">
        <w:rPr>
          <w:rFonts w:cs="Arial"/>
        </w:rPr>
        <w:t>1</w:t>
      </w:r>
      <w:r w:rsidR="00506453">
        <w:rPr>
          <w:rFonts w:cs="Arial"/>
        </w:rPr>
        <w:t xml:space="preserve"> de la presente memoria justificativa.</w:t>
      </w:r>
    </w:p>
    <w:p w:rsidR="00627347" w:rsidRPr="00651B9E" w:rsidRDefault="00627347" w:rsidP="006600C7">
      <w:pPr>
        <w:spacing w:after="0" w:line="240" w:lineRule="auto"/>
        <w:jc w:val="both"/>
        <w:rPr>
          <w:rFonts w:cs="Arial"/>
        </w:rPr>
      </w:pPr>
    </w:p>
    <w:p w:rsidR="00D5445E" w:rsidRPr="00651B9E" w:rsidRDefault="00D5445E" w:rsidP="006863A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651B9E">
        <w:rPr>
          <w:rFonts w:cs="Arial"/>
          <w:b/>
        </w:rPr>
        <w:t>3.2</w:t>
      </w:r>
      <w:r w:rsidR="00526C34" w:rsidRPr="00651B9E">
        <w:rPr>
          <w:rFonts w:cs="Arial"/>
          <w:b/>
        </w:rPr>
        <w:t>. La</w:t>
      </w:r>
      <w:r w:rsidRPr="00651B9E">
        <w:rPr>
          <w:rFonts w:cs="Arial"/>
          <w:b/>
        </w:rPr>
        <w:t xml:space="preserve"> vigencia de la ley o norma reglamentada o desarrollada</w:t>
      </w:r>
    </w:p>
    <w:p w:rsidR="00D5445E" w:rsidRPr="00651B9E" w:rsidRDefault="00D5445E" w:rsidP="0068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8024E" w:rsidRDefault="00904532" w:rsidP="006863A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  <w:r>
        <w:rPr>
          <w:rFonts w:eastAsia="Times New Roman" w:cs="Arial"/>
          <w:color w:val="000000"/>
          <w:lang w:eastAsia="es-CO"/>
        </w:rPr>
        <w:t xml:space="preserve">Las leyes </w:t>
      </w:r>
      <w:r w:rsidR="00322F0A">
        <w:rPr>
          <w:rFonts w:eastAsia="Times New Roman" w:cs="Arial"/>
          <w:color w:val="000000"/>
          <w:lang w:eastAsia="es-CO"/>
        </w:rPr>
        <w:t>1530</w:t>
      </w:r>
      <w:r w:rsidR="00D457CD">
        <w:rPr>
          <w:rStyle w:val="Refdenotaalpie"/>
          <w:rFonts w:eastAsia="Times New Roman" w:cs="Arial"/>
          <w:color w:val="000000"/>
          <w:lang w:eastAsia="es-CO"/>
        </w:rPr>
        <w:footnoteReference w:id="2"/>
      </w:r>
      <w:r w:rsidR="00322F0A">
        <w:rPr>
          <w:rFonts w:eastAsia="Times New Roman" w:cs="Arial"/>
          <w:color w:val="000000"/>
          <w:lang w:eastAsia="es-CO"/>
        </w:rPr>
        <w:t xml:space="preserve"> de 2012 y </w:t>
      </w:r>
      <w:r w:rsidR="00914572">
        <w:rPr>
          <w:rFonts w:eastAsia="Times New Roman" w:cs="Arial"/>
          <w:color w:val="000000"/>
          <w:lang w:eastAsia="es-CO"/>
        </w:rPr>
        <w:t>el Decreto 2190</w:t>
      </w:r>
      <w:r w:rsidR="00914572">
        <w:rPr>
          <w:rStyle w:val="Refdenotaalpie"/>
          <w:rFonts w:eastAsia="Times New Roman" w:cs="Arial"/>
          <w:color w:val="000000"/>
          <w:lang w:eastAsia="es-CO"/>
        </w:rPr>
        <w:footnoteReference w:id="3"/>
      </w:r>
      <w:r w:rsidR="00914572">
        <w:rPr>
          <w:rFonts w:eastAsia="Times New Roman" w:cs="Arial"/>
          <w:color w:val="000000"/>
          <w:lang w:eastAsia="es-CO"/>
        </w:rPr>
        <w:t xml:space="preserve"> de 2016</w:t>
      </w:r>
      <w:r w:rsidR="00322F0A">
        <w:rPr>
          <w:rFonts w:eastAsia="Times New Roman" w:cs="Arial"/>
          <w:color w:val="000000"/>
          <w:lang w:eastAsia="es-CO"/>
        </w:rPr>
        <w:t xml:space="preserve"> </w:t>
      </w:r>
      <w:r w:rsidR="00C50E64">
        <w:rPr>
          <w:rFonts w:eastAsia="Times New Roman" w:cs="Arial"/>
          <w:color w:val="000000"/>
          <w:lang w:eastAsia="es-CO"/>
        </w:rPr>
        <w:t>fueron publicad</w:t>
      </w:r>
      <w:r w:rsidR="002C1463">
        <w:rPr>
          <w:rFonts w:eastAsia="Times New Roman" w:cs="Arial"/>
          <w:color w:val="000000"/>
          <w:lang w:eastAsia="es-CO"/>
        </w:rPr>
        <w:t>o</w:t>
      </w:r>
      <w:r w:rsidR="00C50E64">
        <w:rPr>
          <w:rFonts w:eastAsia="Times New Roman" w:cs="Arial"/>
          <w:color w:val="000000"/>
          <w:lang w:eastAsia="es-CO"/>
        </w:rPr>
        <w:t xml:space="preserve">s en los diarios oficiales </w:t>
      </w:r>
      <w:r w:rsidR="0008024E">
        <w:rPr>
          <w:rFonts w:eastAsia="Times New Roman" w:cs="Arial"/>
          <w:color w:val="000000"/>
          <w:lang w:eastAsia="es-CO"/>
        </w:rPr>
        <w:t xml:space="preserve">48.433 del 17 de mayo de 2012 y </w:t>
      </w:r>
      <w:r w:rsidR="007124ED" w:rsidRPr="007124ED">
        <w:rPr>
          <w:rFonts w:eastAsia="Times New Roman" w:cs="Arial"/>
          <w:color w:val="000000"/>
          <w:lang w:eastAsia="es-CO"/>
        </w:rPr>
        <w:t>50</w:t>
      </w:r>
      <w:r w:rsidR="007124ED">
        <w:rPr>
          <w:rFonts w:eastAsia="Times New Roman" w:cs="Arial"/>
          <w:color w:val="000000"/>
          <w:lang w:eastAsia="es-CO"/>
        </w:rPr>
        <w:t>.</w:t>
      </w:r>
      <w:r w:rsidR="007124ED" w:rsidRPr="007124ED">
        <w:rPr>
          <w:rFonts w:eastAsia="Times New Roman" w:cs="Arial"/>
          <w:color w:val="000000"/>
          <w:lang w:eastAsia="es-CO"/>
        </w:rPr>
        <w:t>100 de diciembre 28 de 2016</w:t>
      </w:r>
      <w:r w:rsidR="0008024E">
        <w:rPr>
          <w:rFonts w:eastAsia="Times New Roman" w:cs="Arial"/>
          <w:color w:val="000000"/>
          <w:lang w:eastAsia="es-CO"/>
        </w:rPr>
        <w:t xml:space="preserve">, respectivamente, y </w:t>
      </w:r>
      <w:r w:rsidR="00322F0A">
        <w:rPr>
          <w:rFonts w:eastAsia="Times New Roman" w:cs="Arial"/>
          <w:color w:val="000000"/>
          <w:lang w:eastAsia="es-CO"/>
        </w:rPr>
        <w:t>se encuentran vigentes</w:t>
      </w:r>
      <w:r w:rsidR="0008024E">
        <w:rPr>
          <w:rFonts w:eastAsia="Times New Roman" w:cs="Arial"/>
          <w:color w:val="000000"/>
          <w:lang w:eastAsia="es-CO"/>
        </w:rPr>
        <w:t>.</w:t>
      </w:r>
    </w:p>
    <w:p w:rsidR="00186F44" w:rsidRPr="00651B9E" w:rsidRDefault="00186F44" w:rsidP="0068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highlight w:val="yellow"/>
        </w:rPr>
      </w:pPr>
    </w:p>
    <w:p w:rsidR="00D5445E" w:rsidRPr="00651B9E" w:rsidRDefault="00D5445E" w:rsidP="0068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651B9E">
        <w:rPr>
          <w:rFonts w:cs="Arial"/>
          <w:b/>
        </w:rPr>
        <w:t>3.3</w:t>
      </w:r>
      <w:r w:rsidR="00526C34" w:rsidRPr="00651B9E">
        <w:rPr>
          <w:rFonts w:cs="Arial"/>
          <w:b/>
        </w:rPr>
        <w:t>. D</w:t>
      </w:r>
      <w:r w:rsidRPr="00651B9E">
        <w:rPr>
          <w:rFonts w:cs="Arial"/>
          <w:b/>
        </w:rPr>
        <w:t>isposiciones derogadas, subrogadas, modificadas, adicionadas o sustituidas, si alguno de estos efectos se produce con la expedición del respectivo acto</w:t>
      </w:r>
    </w:p>
    <w:p w:rsidR="00D5445E" w:rsidRPr="00651B9E" w:rsidRDefault="00D5445E" w:rsidP="006863A5">
      <w:pPr>
        <w:spacing w:after="0" w:line="240" w:lineRule="auto"/>
        <w:jc w:val="both"/>
        <w:rPr>
          <w:rFonts w:cs="Arial"/>
        </w:rPr>
      </w:pPr>
    </w:p>
    <w:p w:rsidR="00D31E1A" w:rsidRPr="00651B9E" w:rsidRDefault="00E12149" w:rsidP="006863A5">
      <w:pPr>
        <w:spacing w:after="0" w:line="240" w:lineRule="auto"/>
        <w:jc w:val="both"/>
        <w:rPr>
          <w:rFonts w:cs="Arial"/>
        </w:rPr>
      </w:pPr>
      <w:r w:rsidRPr="00651B9E">
        <w:rPr>
          <w:rFonts w:cs="Arial"/>
        </w:rPr>
        <w:t>Este</w:t>
      </w:r>
      <w:r w:rsidR="00402D45" w:rsidRPr="00651B9E">
        <w:rPr>
          <w:rFonts w:cs="Arial"/>
        </w:rPr>
        <w:t xml:space="preserve"> proyecto de </w:t>
      </w:r>
      <w:r w:rsidR="00D31E1A" w:rsidRPr="00651B9E">
        <w:rPr>
          <w:rFonts w:cs="Arial"/>
        </w:rPr>
        <w:t xml:space="preserve">Resolución </w:t>
      </w:r>
      <w:r w:rsidR="00322F0A">
        <w:rPr>
          <w:rFonts w:cs="Arial"/>
        </w:rPr>
        <w:t>no deroga norma alguna.</w:t>
      </w:r>
    </w:p>
    <w:p w:rsidR="00455D8E" w:rsidRPr="00651B9E" w:rsidRDefault="00D31E1A" w:rsidP="00526C34">
      <w:pPr>
        <w:spacing w:after="0" w:line="240" w:lineRule="auto"/>
        <w:jc w:val="both"/>
        <w:rPr>
          <w:rFonts w:eastAsia="Times New Roman" w:cs="Arial"/>
          <w:color w:val="222222"/>
          <w:lang w:eastAsia="es-CO"/>
        </w:rPr>
      </w:pPr>
      <w:r w:rsidRPr="00651B9E">
        <w:rPr>
          <w:rFonts w:cs="Arial"/>
        </w:rPr>
        <w:t xml:space="preserve"> </w:t>
      </w:r>
      <w:r w:rsidR="00614FCF" w:rsidRPr="00651B9E">
        <w:rPr>
          <w:rFonts w:eastAsia="Times New Roman" w:cs="Arial"/>
          <w:color w:val="222222"/>
          <w:lang w:eastAsia="es-CO"/>
        </w:rPr>
        <w:t> </w:t>
      </w:r>
    </w:p>
    <w:p w:rsidR="004A1E79" w:rsidRPr="002C1463" w:rsidRDefault="004A1E79" w:rsidP="002C1463">
      <w:pPr>
        <w:spacing w:after="0" w:line="240" w:lineRule="auto"/>
        <w:jc w:val="both"/>
        <w:rPr>
          <w:rFonts w:eastAsia="Times New Roman" w:cs="Arial"/>
          <w:b/>
          <w:color w:val="222222"/>
          <w:lang w:eastAsia="es-CO"/>
        </w:rPr>
      </w:pPr>
      <w:r w:rsidRPr="004A1E79">
        <w:rPr>
          <w:rFonts w:eastAsia="Times New Roman" w:cs="Arial"/>
          <w:b/>
          <w:color w:val="222222"/>
          <w:lang w:eastAsia="es-CO"/>
        </w:rPr>
        <w:lastRenderedPageBreak/>
        <w:t xml:space="preserve">3.4. Revisión y análisis de las decisiones judiciales </w:t>
      </w:r>
      <w:r w:rsidR="002C1463">
        <w:rPr>
          <w:rFonts w:eastAsia="Times New Roman" w:cs="Arial"/>
          <w:b/>
          <w:color w:val="222222"/>
          <w:lang w:eastAsia="es-CO"/>
        </w:rPr>
        <w:t xml:space="preserve">de los órganos de cierre de cada jurisdicción </w:t>
      </w:r>
      <w:r w:rsidRPr="00034B31">
        <w:rPr>
          <w:rFonts w:eastAsia="Times New Roman" w:cs="Arial"/>
          <w:b/>
          <w:color w:val="222222"/>
          <w:lang w:eastAsia="es-CO"/>
        </w:rPr>
        <w:t>que pudier</w:t>
      </w:r>
      <w:r w:rsidR="002C1463">
        <w:rPr>
          <w:rFonts w:eastAsia="Times New Roman" w:cs="Arial"/>
          <w:b/>
          <w:color w:val="222222"/>
          <w:lang w:eastAsia="es-CO"/>
        </w:rPr>
        <w:t>e</w:t>
      </w:r>
      <w:r w:rsidRPr="00034B31">
        <w:rPr>
          <w:rFonts w:eastAsia="Times New Roman" w:cs="Arial"/>
          <w:b/>
          <w:color w:val="222222"/>
          <w:lang w:eastAsia="es-CO"/>
        </w:rPr>
        <w:t>n tener impacto o ser relevantes para la expedición del acto</w:t>
      </w:r>
      <w:r w:rsidR="002C1463">
        <w:rPr>
          <w:rFonts w:eastAsia="Times New Roman" w:cs="Arial"/>
          <w:b/>
          <w:color w:val="222222"/>
          <w:lang w:eastAsia="es-CO"/>
        </w:rPr>
        <w:t>.</w:t>
      </w:r>
    </w:p>
    <w:p w:rsidR="004A1E79" w:rsidRPr="00651B9E" w:rsidRDefault="004A1E79" w:rsidP="004A1E79">
      <w:pPr>
        <w:spacing w:after="0" w:line="240" w:lineRule="auto"/>
        <w:jc w:val="both"/>
        <w:rPr>
          <w:rFonts w:cs="Arial"/>
        </w:rPr>
      </w:pPr>
    </w:p>
    <w:p w:rsidR="004A1E79" w:rsidRPr="00651B9E" w:rsidRDefault="002C1463" w:rsidP="004A1E79">
      <w:pPr>
        <w:spacing w:after="0" w:line="240" w:lineRule="auto"/>
        <w:jc w:val="both"/>
        <w:rPr>
          <w:rFonts w:eastAsia="Times New Roman" w:cs="Arial"/>
          <w:color w:val="222222"/>
          <w:lang w:eastAsia="es-CO"/>
        </w:rPr>
      </w:pPr>
      <w:r>
        <w:rPr>
          <w:rFonts w:eastAsia="Times New Roman" w:cs="Arial"/>
          <w:color w:val="222222"/>
          <w:lang w:eastAsia="es-CO"/>
        </w:rPr>
        <w:t>De acuerdo con la revisión llevada a cabo por el Coordinador del Grupo de Defensa Judicial de la Oficina Asesora Jurídica, a</w:t>
      </w:r>
      <w:r w:rsidR="00D14A27">
        <w:rPr>
          <w:rFonts w:eastAsia="Times New Roman" w:cs="Arial"/>
          <w:color w:val="222222"/>
          <w:lang w:eastAsia="es-CO"/>
        </w:rPr>
        <w:t xml:space="preserve"> la fecha de expedición de la presente memoria justificativa, n</w:t>
      </w:r>
      <w:r w:rsidR="004A1E79" w:rsidRPr="00651B9E">
        <w:rPr>
          <w:rFonts w:eastAsia="Times New Roman" w:cs="Arial"/>
          <w:color w:val="222222"/>
          <w:lang w:eastAsia="es-CO"/>
        </w:rPr>
        <w:t xml:space="preserve">o existen decisiones judiciales que generen impacto en la expedición </w:t>
      </w:r>
      <w:r w:rsidR="00B52E96">
        <w:rPr>
          <w:rFonts w:eastAsia="Times New Roman" w:cs="Arial"/>
          <w:color w:val="222222"/>
          <w:lang w:eastAsia="es-CO"/>
        </w:rPr>
        <w:t>de</w:t>
      </w:r>
      <w:r>
        <w:rPr>
          <w:rFonts w:eastAsia="Times New Roman" w:cs="Arial"/>
          <w:color w:val="222222"/>
          <w:lang w:eastAsia="es-CO"/>
        </w:rPr>
        <w:t xml:space="preserve">l proyecto normativo. </w:t>
      </w:r>
    </w:p>
    <w:p w:rsidR="004A1E79" w:rsidRPr="00651B9E" w:rsidRDefault="004A1E79" w:rsidP="00526C34">
      <w:pPr>
        <w:spacing w:after="0" w:line="240" w:lineRule="auto"/>
        <w:jc w:val="both"/>
        <w:rPr>
          <w:rFonts w:eastAsia="Times New Roman" w:cs="Arial"/>
          <w:color w:val="222222"/>
          <w:lang w:eastAsia="es-CO"/>
        </w:rPr>
      </w:pPr>
    </w:p>
    <w:p w:rsidR="00D5445E" w:rsidRPr="007124ED" w:rsidRDefault="00D5445E" w:rsidP="001562E9">
      <w:pPr>
        <w:numPr>
          <w:ilvl w:val="0"/>
          <w:numId w:val="2"/>
        </w:numPr>
        <w:spacing w:after="0" w:line="240" w:lineRule="auto"/>
        <w:jc w:val="both"/>
        <w:rPr>
          <w:rFonts w:cs="Arial"/>
          <w:b/>
        </w:rPr>
      </w:pPr>
      <w:r w:rsidRPr="007124ED">
        <w:rPr>
          <w:rFonts w:cs="Arial"/>
          <w:b/>
        </w:rPr>
        <w:t>IMPACTO ECONÓMICO</w:t>
      </w:r>
    </w:p>
    <w:p w:rsidR="00D5445E" w:rsidRPr="007124ED" w:rsidRDefault="00D5445E" w:rsidP="006863A5">
      <w:pPr>
        <w:pStyle w:val="Textoindependiente"/>
        <w:jc w:val="left"/>
        <w:rPr>
          <w:rFonts w:cs="Arial"/>
          <w:color w:val="000000"/>
          <w:sz w:val="22"/>
          <w:szCs w:val="22"/>
          <w:lang w:val="es-ES" w:eastAsia="es-CO"/>
        </w:rPr>
      </w:pPr>
    </w:p>
    <w:p w:rsidR="0008024E" w:rsidRDefault="00E5675B" w:rsidP="00F32094">
      <w:pPr>
        <w:pStyle w:val="Default"/>
        <w:jc w:val="both"/>
        <w:rPr>
          <w:sz w:val="22"/>
          <w:szCs w:val="22"/>
          <w:lang w:val="es-ES"/>
        </w:rPr>
      </w:pPr>
      <w:r w:rsidRPr="007124ED">
        <w:rPr>
          <w:sz w:val="22"/>
          <w:szCs w:val="22"/>
          <w:lang w:val="es-ES"/>
        </w:rPr>
        <w:t xml:space="preserve">El proyecto de </w:t>
      </w:r>
      <w:r w:rsidR="00612ABE" w:rsidRPr="007124ED">
        <w:rPr>
          <w:sz w:val="22"/>
          <w:szCs w:val="22"/>
          <w:lang w:val="es-ES"/>
        </w:rPr>
        <w:t>Resolución no representa ningún impacto económico para el</w:t>
      </w:r>
      <w:r w:rsidR="0008024E" w:rsidRPr="007124ED">
        <w:rPr>
          <w:sz w:val="22"/>
          <w:szCs w:val="22"/>
          <w:lang w:val="es-ES"/>
        </w:rPr>
        <w:t xml:space="preserve"> presupuesto del </w:t>
      </w:r>
      <w:r w:rsidR="00612ABE" w:rsidRPr="007124ED">
        <w:rPr>
          <w:sz w:val="22"/>
          <w:szCs w:val="22"/>
          <w:lang w:val="es-ES"/>
        </w:rPr>
        <w:t xml:space="preserve"> Ministerio de Minas y Energía</w:t>
      </w:r>
      <w:r w:rsidR="00417D66" w:rsidRPr="007124ED">
        <w:rPr>
          <w:sz w:val="22"/>
          <w:szCs w:val="22"/>
          <w:lang w:val="es-ES"/>
        </w:rPr>
        <w:t xml:space="preserve"> y </w:t>
      </w:r>
      <w:r w:rsidR="00546D97" w:rsidRPr="007124ED">
        <w:rPr>
          <w:sz w:val="22"/>
          <w:szCs w:val="22"/>
          <w:lang w:val="es-ES"/>
        </w:rPr>
        <w:t>ninguna entidad del Gobierno Nacional</w:t>
      </w:r>
      <w:r w:rsidR="00D07AE2" w:rsidRPr="007124ED">
        <w:rPr>
          <w:sz w:val="22"/>
          <w:szCs w:val="22"/>
          <w:lang w:val="es-ES"/>
        </w:rPr>
        <w:t xml:space="preserve">, toda vez que se trata de recursos </w:t>
      </w:r>
      <w:r w:rsidR="00914572" w:rsidRPr="007124ED">
        <w:rPr>
          <w:sz w:val="22"/>
          <w:szCs w:val="22"/>
          <w:lang w:val="es-ES"/>
        </w:rPr>
        <w:t xml:space="preserve">correspondientes a los rendimientos financieros generados por </w:t>
      </w:r>
      <w:r w:rsidR="00D07AE2" w:rsidRPr="007124ED">
        <w:rPr>
          <w:sz w:val="22"/>
          <w:szCs w:val="22"/>
          <w:lang w:val="es-ES"/>
        </w:rPr>
        <w:t xml:space="preserve">el Sistema General de Regalías </w:t>
      </w:r>
      <w:r w:rsidR="00914572" w:rsidRPr="007124ED">
        <w:rPr>
          <w:sz w:val="22"/>
          <w:szCs w:val="22"/>
          <w:lang w:val="es-ES"/>
        </w:rPr>
        <w:t>con la destinación determinada por el parágrafo del artículo 8° del Decreto 2190 de 2016.</w:t>
      </w:r>
    </w:p>
    <w:p w:rsidR="004E6B1C" w:rsidRPr="00651B9E" w:rsidRDefault="004E6B1C" w:rsidP="00F32094">
      <w:pPr>
        <w:pStyle w:val="Default"/>
        <w:jc w:val="both"/>
        <w:rPr>
          <w:sz w:val="22"/>
          <w:szCs w:val="22"/>
          <w:lang w:val="es-ES"/>
        </w:rPr>
      </w:pPr>
    </w:p>
    <w:p w:rsidR="00D5445E" w:rsidRPr="00651B9E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sz w:val="22"/>
          <w:szCs w:val="22"/>
          <w:lang w:val="es-CO"/>
        </w:rPr>
        <w:t xml:space="preserve"> </w:t>
      </w:r>
      <w:r w:rsidRPr="00651B9E">
        <w:rPr>
          <w:rFonts w:cs="Arial"/>
          <w:b/>
          <w:sz w:val="22"/>
          <w:szCs w:val="22"/>
          <w:lang w:val="es-CO"/>
        </w:rPr>
        <w:t>DISPONIBILIDAD PRESUPUESTAL</w:t>
      </w:r>
    </w:p>
    <w:p w:rsidR="00D5445E" w:rsidRPr="00651B9E" w:rsidRDefault="00D5445E" w:rsidP="006863A5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:rsidR="0088569B" w:rsidRDefault="0088569B" w:rsidP="006863A5">
      <w:pPr>
        <w:pStyle w:val="Textoindependiente"/>
        <w:rPr>
          <w:rFonts w:cs="Arial"/>
          <w:sz w:val="22"/>
          <w:szCs w:val="22"/>
          <w:lang w:val="es-CO"/>
        </w:rPr>
      </w:pPr>
      <w:r>
        <w:rPr>
          <w:rFonts w:cs="Arial"/>
          <w:sz w:val="22"/>
          <w:szCs w:val="22"/>
          <w:lang w:val="es-CO"/>
        </w:rPr>
        <w:t>No aplica.</w:t>
      </w:r>
    </w:p>
    <w:p w:rsidR="0088569B" w:rsidRDefault="0088569B" w:rsidP="006863A5">
      <w:pPr>
        <w:pStyle w:val="Textoindependiente"/>
        <w:rPr>
          <w:rFonts w:cs="Arial"/>
          <w:sz w:val="22"/>
          <w:szCs w:val="22"/>
          <w:lang w:val="es-CO"/>
        </w:rPr>
      </w:pPr>
    </w:p>
    <w:p w:rsidR="0088569B" w:rsidRDefault="0088569B" w:rsidP="006863A5">
      <w:pPr>
        <w:pStyle w:val="Textoindependiente"/>
        <w:rPr>
          <w:rFonts w:cs="Arial"/>
          <w:sz w:val="22"/>
          <w:szCs w:val="22"/>
          <w:lang w:val="es-CO"/>
        </w:rPr>
      </w:pPr>
      <w:r>
        <w:rPr>
          <w:rFonts w:cs="Arial"/>
          <w:sz w:val="22"/>
          <w:szCs w:val="22"/>
          <w:lang w:val="es-CO"/>
        </w:rPr>
        <w:t>Como mencionamos anteriormente, el proyecto no afecta los recursos del presupuesto asignado a este Ministerio, toda vez que corresponden a un monto de los recursos de</w:t>
      </w:r>
      <w:r w:rsidR="00914572">
        <w:rPr>
          <w:rFonts w:cs="Arial"/>
          <w:sz w:val="22"/>
          <w:szCs w:val="22"/>
          <w:lang w:val="es-CO"/>
        </w:rPr>
        <w:t xml:space="preserve">l </w:t>
      </w:r>
      <w:r w:rsidR="007124ED">
        <w:rPr>
          <w:rFonts w:cs="Arial"/>
          <w:sz w:val="22"/>
          <w:szCs w:val="22"/>
          <w:lang w:val="es-CO"/>
        </w:rPr>
        <w:t xml:space="preserve">presupuesto del </w:t>
      </w:r>
      <w:r w:rsidR="00914572">
        <w:rPr>
          <w:rFonts w:cs="Arial"/>
          <w:sz w:val="22"/>
          <w:szCs w:val="22"/>
          <w:lang w:val="es-CO"/>
        </w:rPr>
        <w:t xml:space="preserve">Sistema </w:t>
      </w:r>
      <w:r>
        <w:rPr>
          <w:rFonts w:cs="Arial"/>
          <w:sz w:val="22"/>
          <w:szCs w:val="22"/>
          <w:lang w:val="es-CO"/>
        </w:rPr>
        <w:t>General de Regalías, destinado para el incentivo a la producción.</w:t>
      </w:r>
    </w:p>
    <w:p w:rsidR="00627347" w:rsidRPr="00651B9E" w:rsidRDefault="00627347" w:rsidP="006863A5">
      <w:pPr>
        <w:pStyle w:val="Textoindependiente"/>
        <w:rPr>
          <w:rFonts w:cs="Arial"/>
          <w:sz w:val="22"/>
          <w:szCs w:val="22"/>
          <w:lang w:val="es-CO"/>
        </w:rPr>
      </w:pPr>
    </w:p>
    <w:p w:rsidR="00D5445E" w:rsidRPr="00651B9E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b/>
          <w:sz w:val="22"/>
          <w:szCs w:val="22"/>
          <w:lang w:val="es-CO"/>
        </w:rPr>
        <w:t>IMPACTO MEDIO AMBIENTAL O SOBRE EL PATRIMONIO CULTURAL</w:t>
      </w:r>
    </w:p>
    <w:p w:rsidR="00D5445E" w:rsidRPr="00651B9E" w:rsidRDefault="00D5445E" w:rsidP="006863A5">
      <w:pPr>
        <w:pStyle w:val="Textoindependiente"/>
        <w:jc w:val="left"/>
        <w:rPr>
          <w:rFonts w:cs="Arial"/>
          <w:b/>
          <w:sz w:val="22"/>
          <w:szCs w:val="22"/>
          <w:highlight w:val="yellow"/>
          <w:lang w:val="es-CO"/>
        </w:rPr>
      </w:pPr>
    </w:p>
    <w:p w:rsidR="00627347" w:rsidRDefault="00186F44" w:rsidP="00914572">
      <w:pPr>
        <w:pStyle w:val="Default"/>
        <w:jc w:val="both"/>
        <w:rPr>
          <w:sz w:val="22"/>
          <w:szCs w:val="22"/>
        </w:rPr>
      </w:pPr>
      <w:r w:rsidRPr="00651B9E">
        <w:rPr>
          <w:sz w:val="22"/>
          <w:szCs w:val="22"/>
          <w:lang w:val="es-ES"/>
        </w:rPr>
        <w:t>Por medio de este proyecto de Resolución no se genera ningún tipo de impacto ambiental o sobre el patrimonio cultural</w:t>
      </w:r>
      <w:r w:rsidR="004A1E79" w:rsidRPr="00651B9E">
        <w:rPr>
          <w:sz w:val="22"/>
          <w:szCs w:val="22"/>
          <w:lang w:val="es-ES"/>
        </w:rPr>
        <w:t xml:space="preserve">, teniendo en cuenta que su </w:t>
      </w:r>
      <w:r w:rsidR="00D07AE2">
        <w:rPr>
          <w:sz w:val="22"/>
          <w:szCs w:val="22"/>
          <w:lang w:val="es-ES"/>
        </w:rPr>
        <w:t xml:space="preserve">finalidad </w:t>
      </w:r>
      <w:r w:rsidR="008C693A">
        <w:rPr>
          <w:sz w:val="22"/>
          <w:szCs w:val="22"/>
          <w:lang w:val="es-ES"/>
        </w:rPr>
        <w:t xml:space="preserve"> es </w:t>
      </w:r>
      <w:r w:rsidR="00D07AE2">
        <w:rPr>
          <w:sz w:val="22"/>
          <w:szCs w:val="22"/>
          <w:lang w:val="es-ES"/>
        </w:rPr>
        <w:t xml:space="preserve"> </w:t>
      </w:r>
      <w:r w:rsidR="0052583D">
        <w:rPr>
          <w:sz w:val="22"/>
          <w:szCs w:val="22"/>
        </w:rPr>
        <w:t xml:space="preserve">definir </w:t>
      </w:r>
      <w:r w:rsidR="00914572" w:rsidRPr="00914572">
        <w:rPr>
          <w:sz w:val="22"/>
          <w:szCs w:val="22"/>
        </w:rPr>
        <w:t>el esquema de incentivos para el aprovechamiento y la explotación integral de los recursos naturales no renovables y establece</w:t>
      </w:r>
      <w:r w:rsidR="0052583D">
        <w:rPr>
          <w:sz w:val="22"/>
          <w:szCs w:val="22"/>
        </w:rPr>
        <w:t>r</w:t>
      </w:r>
      <w:r w:rsidR="00914572" w:rsidRPr="00914572">
        <w:rPr>
          <w:sz w:val="22"/>
          <w:szCs w:val="22"/>
        </w:rPr>
        <w:t xml:space="preserve"> la metodología para su distribución, aplicación y asignación, para el bienio 2017-2018</w:t>
      </w:r>
      <w:r w:rsidR="0052583D">
        <w:rPr>
          <w:sz w:val="22"/>
          <w:szCs w:val="22"/>
        </w:rPr>
        <w:t xml:space="preserve">, así como determinar </w:t>
      </w:r>
      <w:r w:rsidR="00914572" w:rsidRPr="00914572">
        <w:rPr>
          <w:sz w:val="22"/>
          <w:szCs w:val="22"/>
        </w:rPr>
        <w:t>los cupos para las entidades territoriales beneficiarias</w:t>
      </w:r>
      <w:r w:rsidR="0052583D">
        <w:rPr>
          <w:sz w:val="22"/>
          <w:szCs w:val="22"/>
        </w:rPr>
        <w:t>.</w:t>
      </w:r>
    </w:p>
    <w:p w:rsidR="00914572" w:rsidRPr="00651B9E" w:rsidRDefault="00914572" w:rsidP="00914572">
      <w:pPr>
        <w:pStyle w:val="Default"/>
        <w:jc w:val="both"/>
        <w:rPr>
          <w:sz w:val="22"/>
          <w:szCs w:val="22"/>
        </w:rPr>
      </w:pPr>
    </w:p>
    <w:p w:rsidR="00D5445E" w:rsidRPr="00651B9E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b/>
          <w:sz w:val="22"/>
          <w:szCs w:val="22"/>
          <w:lang w:val="es-CO"/>
        </w:rPr>
        <w:t>CONSULTA</w:t>
      </w:r>
    </w:p>
    <w:p w:rsidR="00D5445E" w:rsidRPr="00651B9E" w:rsidRDefault="00D5445E" w:rsidP="006863A5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:rsidR="004A1E79" w:rsidRPr="00034B31" w:rsidRDefault="004A1E79" w:rsidP="00FD198C">
      <w:pPr>
        <w:pStyle w:val="Textoindependiente"/>
        <w:rPr>
          <w:rFonts w:cs="Arial"/>
          <w:sz w:val="22"/>
          <w:szCs w:val="22"/>
          <w:lang w:val="es-CO"/>
        </w:rPr>
      </w:pPr>
      <w:r w:rsidRPr="004A1E79">
        <w:rPr>
          <w:rFonts w:cs="Arial"/>
          <w:sz w:val="22"/>
          <w:szCs w:val="22"/>
          <w:lang w:val="es-CO"/>
        </w:rPr>
        <w:t xml:space="preserve">No aplica por cuanto el acto administrativo solo pretende </w:t>
      </w:r>
      <w:r w:rsidR="00D07AE2">
        <w:rPr>
          <w:rFonts w:cs="Arial"/>
          <w:sz w:val="22"/>
          <w:szCs w:val="22"/>
        </w:rPr>
        <w:t>definir</w:t>
      </w:r>
      <w:r w:rsidR="00D07AE2" w:rsidRPr="004C180B">
        <w:rPr>
          <w:rFonts w:cs="Arial"/>
          <w:sz w:val="22"/>
          <w:szCs w:val="22"/>
        </w:rPr>
        <w:t xml:space="preserve"> </w:t>
      </w:r>
      <w:r w:rsidR="00FD198C" w:rsidRPr="00FD198C">
        <w:rPr>
          <w:rFonts w:cs="Arial"/>
          <w:sz w:val="22"/>
          <w:szCs w:val="22"/>
        </w:rPr>
        <w:t>el esquema de incentivos para el aprovechamiento y la explotación integral de los recursos naturales no renovables y establece</w:t>
      </w:r>
      <w:r w:rsidR="00FD198C">
        <w:rPr>
          <w:rFonts w:cs="Arial"/>
          <w:sz w:val="22"/>
          <w:szCs w:val="22"/>
        </w:rPr>
        <w:t>r</w:t>
      </w:r>
      <w:r w:rsidR="00FD198C" w:rsidRPr="00FD198C">
        <w:rPr>
          <w:rFonts w:cs="Arial"/>
          <w:sz w:val="22"/>
          <w:szCs w:val="22"/>
        </w:rPr>
        <w:t xml:space="preserve"> la metodología para su distribución, aplicación y asignación, para el bienio 2017-2018</w:t>
      </w:r>
      <w:r w:rsidR="00FD198C">
        <w:rPr>
          <w:rFonts w:cs="Arial"/>
          <w:sz w:val="22"/>
          <w:szCs w:val="22"/>
        </w:rPr>
        <w:t>, así mismo</w:t>
      </w:r>
      <w:r w:rsidR="00FD198C" w:rsidRPr="00FD198C">
        <w:rPr>
          <w:rFonts w:cs="Arial"/>
          <w:sz w:val="22"/>
          <w:szCs w:val="22"/>
        </w:rPr>
        <w:t xml:space="preserve"> determina los cupos para las entidades territoriales beneficiarias</w:t>
      </w:r>
      <w:r w:rsidRPr="00034B31">
        <w:rPr>
          <w:rFonts w:cs="Arial"/>
          <w:sz w:val="22"/>
          <w:szCs w:val="22"/>
          <w:lang w:val="es-CO"/>
        </w:rPr>
        <w:t xml:space="preserve">, por lo que no genera ninguna incidencia para las comunidades indígenas ni minorías reconocidas legal y constitucionalmente. </w:t>
      </w:r>
    </w:p>
    <w:p w:rsidR="004A1E79" w:rsidRDefault="004A1E79" w:rsidP="006863A5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:rsidR="004A1E79" w:rsidRPr="00651B9E" w:rsidRDefault="004A1E79" w:rsidP="00651B9E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651B9E">
        <w:rPr>
          <w:rFonts w:cs="Arial"/>
          <w:b/>
          <w:sz w:val="22"/>
          <w:szCs w:val="22"/>
          <w:lang w:val="es-CO"/>
        </w:rPr>
        <w:t xml:space="preserve"> PUBLICIDAD</w:t>
      </w:r>
    </w:p>
    <w:p w:rsidR="004A1E79" w:rsidRPr="00651B9E" w:rsidRDefault="004A1E79" w:rsidP="00651B9E">
      <w:pPr>
        <w:pStyle w:val="Textoindependiente"/>
        <w:ind w:left="720"/>
        <w:jc w:val="left"/>
        <w:rPr>
          <w:rFonts w:cs="Arial"/>
          <w:b/>
          <w:sz w:val="22"/>
          <w:szCs w:val="22"/>
          <w:lang w:val="es-CO"/>
        </w:rPr>
      </w:pPr>
    </w:p>
    <w:p w:rsidR="00402D45" w:rsidRPr="00651B9E" w:rsidRDefault="00402D45" w:rsidP="006863A5">
      <w:pPr>
        <w:spacing w:after="0" w:line="240" w:lineRule="auto"/>
        <w:jc w:val="both"/>
        <w:rPr>
          <w:rFonts w:cs="Arial"/>
        </w:rPr>
      </w:pPr>
      <w:r w:rsidRPr="00651B9E">
        <w:rPr>
          <w:rFonts w:cs="Arial"/>
          <w:color w:val="000000"/>
        </w:rPr>
        <w:t>E</w:t>
      </w:r>
      <w:r w:rsidR="00417D66" w:rsidRPr="00651B9E">
        <w:rPr>
          <w:rFonts w:cs="Arial"/>
          <w:color w:val="000000"/>
        </w:rPr>
        <w:t>n cumplimiento a lo señalado en</w:t>
      </w:r>
      <w:r w:rsidR="00186F44" w:rsidRPr="00651B9E">
        <w:rPr>
          <w:rFonts w:cs="Arial"/>
          <w:color w:val="000000"/>
        </w:rPr>
        <w:t xml:space="preserve"> el numeral 8 del artículo 8 de la Ley 1437 de 2011</w:t>
      </w:r>
      <w:r w:rsidR="00417D66" w:rsidRPr="00651B9E">
        <w:rPr>
          <w:rFonts w:cs="Arial"/>
          <w:color w:val="000000"/>
        </w:rPr>
        <w:t xml:space="preserve">, </w:t>
      </w:r>
      <w:r w:rsidR="004A1E79" w:rsidRPr="004A1E79">
        <w:rPr>
          <w:rFonts w:cs="Arial"/>
          <w:color w:val="000000"/>
        </w:rPr>
        <w:t xml:space="preserve">en concordancia con lo previsto en el Decreto </w:t>
      </w:r>
      <w:r w:rsidR="006C2E95">
        <w:rPr>
          <w:rFonts w:cs="Arial"/>
          <w:color w:val="000000"/>
        </w:rPr>
        <w:t>270 de 2017</w:t>
      </w:r>
      <w:r w:rsidR="00B54AFD">
        <w:rPr>
          <w:rFonts w:cs="Arial"/>
          <w:color w:val="000000"/>
        </w:rPr>
        <w:t xml:space="preserve"> y la Resolución 4 0310 de 2017</w:t>
      </w:r>
      <w:r w:rsidR="004A1E79" w:rsidRPr="004A1E79">
        <w:rPr>
          <w:rFonts w:cs="Arial"/>
          <w:color w:val="000000"/>
        </w:rPr>
        <w:t xml:space="preserve">, </w:t>
      </w:r>
      <w:r w:rsidR="00417D66" w:rsidRPr="00651B9E">
        <w:rPr>
          <w:rFonts w:cs="Arial"/>
          <w:color w:val="000000"/>
        </w:rPr>
        <w:t>el</w:t>
      </w:r>
      <w:r w:rsidRPr="00651B9E">
        <w:rPr>
          <w:rFonts w:cs="Arial"/>
          <w:color w:val="000000"/>
        </w:rPr>
        <w:t xml:space="preserve"> presente proyecto</w:t>
      </w:r>
      <w:r w:rsidR="00914572">
        <w:rPr>
          <w:rFonts w:cs="Arial"/>
          <w:color w:val="000000"/>
        </w:rPr>
        <w:t xml:space="preserve"> y la memoria justificativa</w:t>
      </w:r>
      <w:r w:rsidRPr="00651B9E">
        <w:rPr>
          <w:rFonts w:cs="Arial"/>
          <w:color w:val="000000"/>
        </w:rPr>
        <w:t xml:space="preserve"> se </w:t>
      </w:r>
      <w:r w:rsidR="00914572" w:rsidRPr="00651B9E">
        <w:rPr>
          <w:rFonts w:cs="Arial"/>
          <w:color w:val="000000"/>
        </w:rPr>
        <w:t>public</w:t>
      </w:r>
      <w:r w:rsidR="00914572">
        <w:rPr>
          <w:rFonts w:cs="Arial"/>
          <w:color w:val="000000"/>
        </w:rPr>
        <w:t>aron</w:t>
      </w:r>
      <w:r w:rsidR="00914572" w:rsidRPr="00651B9E">
        <w:rPr>
          <w:rFonts w:cs="Arial"/>
          <w:color w:val="000000"/>
        </w:rPr>
        <w:t xml:space="preserve"> </w:t>
      </w:r>
      <w:r w:rsidR="00417D66" w:rsidRPr="00651B9E">
        <w:rPr>
          <w:rFonts w:cs="Arial"/>
          <w:color w:val="000000"/>
        </w:rPr>
        <w:t xml:space="preserve">para </w:t>
      </w:r>
      <w:r w:rsidR="004A1E79" w:rsidRPr="00651B9E">
        <w:rPr>
          <w:rFonts w:cs="Arial"/>
          <w:color w:val="000000"/>
        </w:rPr>
        <w:t xml:space="preserve">comentarios del público </w:t>
      </w:r>
      <w:r w:rsidRPr="00651B9E">
        <w:rPr>
          <w:rFonts w:cs="Arial"/>
          <w:color w:val="000000"/>
        </w:rPr>
        <w:t>en la página web del Minister</w:t>
      </w:r>
      <w:r w:rsidR="000C2439" w:rsidRPr="00651B9E">
        <w:rPr>
          <w:rFonts w:cs="Arial"/>
          <w:color w:val="000000"/>
        </w:rPr>
        <w:t>io de Minas y Energía</w:t>
      </w:r>
      <w:r w:rsidR="00564AAF">
        <w:rPr>
          <w:rFonts w:cs="Arial"/>
          <w:color w:val="000000"/>
        </w:rPr>
        <w:t xml:space="preserve"> </w:t>
      </w:r>
      <w:hyperlink r:id="rId8" w:history="1">
        <w:r w:rsidR="00564AAF" w:rsidRPr="006F54DB">
          <w:rPr>
            <w:rStyle w:val="Hipervnculo"/>
            <w:rFonts w:cs="Arial"/>
          </w:rPr>
          <w:t>www.minminas.gov.co</w:t>
        </w:r>
      </w:hyperlink>
      <w:r w:rsidR="00564AAF">
        <w:rPr>
          <w:rFonts w:cs="Arial"/>
          <w:color w:val="000000"/>
        </w:rPr>
        <w:t xml:space="preserve"> </w:t>
      </w:r>
      <w:r w:rsidR="000C2439" w:rsidRPr="00651B9E">
        <w:rPr>
          <w:rFonts w:cs="Arial"/>
          <w:color w:val="000000"/>
        </w:rPr>
        <w:t xml:space="preserve"> entre el </w:t>
      </w:r>
      <w:r w:rsidR="006C2E95">
        <w:rPr>
          <w:rFonts w:cs="Arial"/>
          <w:color w:val="000000"/>
        </w:rPr>
        <w:t>18 y 20 de julio de 2017, teniendo en cuenta que el proyecto conserva el mismo esquema y términos similares a los definidos para la entrega del incentivo a la producción en los años 2015 y 2016, contenidos en la</w:t>
      </w:r>
      <w:r w:rsidR="00DF7591">
        <w:rPr>
          <w:rFonts w:cs="Arial"/>
          <w:color w:val="000000"/>
        </w:rPr>
        <w:t>s</w:t>
      </w:r>
      <w:r w:rsidR="006C2E95">
        <w:rPr>
          <w:rFonts w:cs="Arial"/>
          <w:color w:val="000000"/>
        </w:rPr>
        <w:t xml:space="preserve"> Resoluci</w:t>
      </w:r>
      <w:r w:rsidR="00DF7591">
        <w:rPr>
          <w:rFonts w:cs="Arial"/>
          <w:color w:val="000000"/>
        </w:rPr>
        <w:t>ones 4 0659 de 2015 y 40608 de 2016.</w:t>
      </w:r>
      <w:r w:rsidR="006C2E95">
        <w:rPr>
          <w:rFonts w:cs="Arial"/>
          <w:color w:val="000000"/>
        </w:rPr>
        <w:t xml:space="preserve"> </w:t>
      </w:r>
    </w:p>
    <w:p w:rsidR="006C2E95" w:rsidRDefault="006C2E95" w:rsidP="00B54AFD">
      <w:pPr>
        <w:spacing w:after="0" w:line="240" w:lineRule="auto"/>
        <w:jc w:val="both"/>
        <w:rPr>
          <w:rFonts w:cs="Arial"/>
          <w:b/>
        </w:rPr>
      </w:pPr>
    </w:p>
    <w:p w:rsidR="006C2E95" w:rsidRPr="004A1E79" w:rsidRDefault="006C2E95" w:rsidP="00B54AFD">
      <w:pPr>
        <w:numPr>
          <w:ilvl w:val="0"/>
          <w:numId w:val="2"/>
        </w:numPr>
        <w:spacing w:after="0" w:line="240" w:lineRule="auto"/>
        <w:jc w:val="both"/>
        <w:rPr>
          <w:rFonts w:cs="Arial"/>
          <w:b/>
        </w:rPr>
      </w:pPr>
      <w:r w:rsidRPr="004A1E79">
        <w:rPr>
          <w:rFonts w:cs="Arial"/>
          <w:b/>
        </w:rPr>
        <w:t>CONCEPTO DEL DEPARTAMENTO ADMINISTRATIVO DE LA FUNCIÓN PÚBLICA</w:t>
      </w:r>
    </w:p>
    <w:p w:rsidR="006C2E95" w:rsidRPr="00651B9E" w:rsidRDefault="006C2E95" w:rsidP="006C2E95">
      <w:pPr>
        <w:spacing w:after="0" w:line="240" w:lineRule="auto"/>
        <w:jc w:val="both"/>
        <w:rPr>
          <w:rFonts w:cs="Arial"/>
        </w:rPr>
      </w:pPr>
    </w:p>
    <w:p w:rsidR="006C2E95" w:rsidRPr="00266374" w:rsidRDefault="006C2E95" w:rsidP="006C2E95">
      <w:pPr>
        <w:spacing w:after="0" w:line="240" w:lineRule="auto"/>
        <w:jc w:val="both"/>
        <w:rPr>
          <w:rFonts w:cs="Arial"/>
        </w:rPr>
      </w:pPr>
      <w:r w:rsidRPr="00651B9E">
        <w:rPr>
          <w:rFonts w:cs="Arial"/>
        </w:rPr>
        <w:t xml:space="preserve">Teniendo en cuenta la finalidad del acto administrativo, no </w:t>
      </w:r>
      <w:r>
        <w:rPr>
          <w:rFonts w:cs="Arial"/>
        </w:rPr>
        <w:t xml:space="preserve">se </w:t>
      </w:r>
      <w:r w:rsidRPr="00651B9E">
        <w:rPr>
          <w:rFonts w:cs="Arial"/>
        </w:rPr>
        <w:t xml:space="preserve">requiere el concepto </w:t>
      </w:r>
      <w:r w:rsidRPr="004A1E79">
        <w:rPr>
          <w:rFonts w:cs="Arial"/>
        </w:rPr>
        <w:t>de que trata e</w:t>
      </w:r>
      <w:r w:rsidRPr="00266374">
        <w:rPr>
          <w:rFonts w:cs="Arial"/>
        </w:rPr>
        <w:t>l artículo 2.1.2.1.11 del Decreto 1609 de 2015.</w:t>
      </w:r>
    </w:p>
    <w:p w:rsidR="00402D45" w:rsidRDefault="00402D45" w:rsidP="006863A5">
      <w:pPr>
        <w:spacing w:after="0" w:line="240" w:lineRule="auto"/>
        <w:jc w:val="both"/>
        <w:rPr>
          <w:rFonts w:cs="Arial"/>
        </w:rPr>
      </w:pPr>
    </w:p>
    <w:p w:rsidR="0052583D" w:rsidRPr="00B54AFD" w:rsidRDefault="0052583D" w:rsidP="00B54AFD">
      <w:pPr>
        <w:numPr>
          <w:ilvl w:val="0"/>
          <w:numId w:val="2"/>
        </w:numPr>
        <w:spacing w:after="0" w:line="240" w:lineRule="auto"/>
        <w:jc w:val="both"/>
        <w:rPr>
          <w:rFonts w:cs="Arial"/>
          <w:b/>
        </w:rPr>
      </w:pPr>
      <w:r w:rsidRPr="00B54AFD">
        <w:rPr>
          <w:rFonts w:cs="Arial"/>
          <w:b/>
        </w:rPr>
        <w:t xml:space="preserve"> MATRIZ RESUMEN OBSERVACIONES Y COMENTARIOS</w:t>
      </w:r>
    </w:p>
    <w:p w:rsidR="0052583D" w:rsidRDefault="0052583D" w:rsidP="00B54AFD">
      <w:pPr>
        <w:spacing w:after="0" w:line="240" w:lineRule="auto"/>
        <w:ind w:left="720"/>
        <w:jc w:val="both"/>
        <w:rPr>
          <w:rFonts w:cs="Arial"/>
        </w:rPr>
      </w:pPr>
    </w:p>
    <w:p w:rsidR="006C2E95" w:rsidRPr="000A574B" w:rsidRDefault="006C2E95" w:rsidP="006C2E95">
      <w:pPr>
        <w:spacing w:after="0" w:line="240" w:lineRule="auto"/>
        <w:jc w:val="both"/>
        <w:rPr>
          <w:rFonts w:eastAsia="Times New Roman" w:cs="Arial"/>
          <w:lang w:eastAsia="es-ES"/>
        </w:rPr>
      </w:pPr>
      <w:r w:rsidRPr="000A574B">
        <w:rPr>
          <w:rFonts w:eastAsia="Times New Roman" w:cs="Arial"/>
          <w:lang w:eastAsia="es-ES"/>
        </w:rPr>
        <w:t>La matriz con el resumen de las observaciones y comentarios recibidos sobre el proyecto normativo hacen parte de esta memoria justificativa.</w:t>
      </w:r>
    </w:p>
    <w:p w:rsidR="006C2E95" w:rsidRDefault="006C2E95" w:rsidP="00A53B73">
      <w:pPr>
        <w:spacing w:after="0" w:line="240" w:lineRule="auto"/>
        <w:jc w:val="both"/>
        <w:rPr>
          <w:rFonts w:cs="Arial"/>
        </w:rPr>
      </w:pPr>
    </w:p>
    <w:p w:rsidR="0052583D" w:rsidRDefault="006C2E95" w:rsidP="00A53B7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(</w:t>
      </w:r>
      <w:r w:rsidR="00630E52">
        <w:rPr>
          <w:rFonts w:cs="Arial"/>
        </w:rPr>
        <w:t>PENDIENTE DE DILIGENCIAR, DEPENDIENDO DE LOS COMENTARIOS QUE SE RECIBAN</w:t>
      </w:r>
      <w:r>
        <w:rPr>
          <w:rFonts w:cs="Arial"/>
        </w:rPr>
        <w:t>)</w:t>
      </w:r>
    </w:p>
    <w:p w:rsidR="00630E52" w:rsidRPr="00B54AFD" w:rsidRDefault="00630E52" w:rsidP="00A53B73">
      <w:pPr>
        <w:spacing w:after="0" w:line="240" w:lineRule="auto"/>
        <w:jc w:val="both"/>
        <w:rPr>
          <w:rFonts w:cs="Arial"/>
          <w:b/>
        </w:rPr>
      </w:pPr>
    </w:p>
    <w:p w:rsidR="00630E52" w:rsidRPr="00B54AFD" w:rsidRDefault="00630E52" w:rsidP="00B54AFD">
      <w:pPr>
        <w:numPr>
          <w:ilvl w:val="0"/>
          <w:numId w:val="2"/>
        </w:numPr>
        <w:spacing w:after="0" w:line="240" w:lineRule="auto"/>
        <w:jc w:val="both"/>
        <w:rPr>
          <w:rFonts w:cs="Arial"/>
          <w:b/>
        </w:rPr>
      </w:pPr>
      <w:r w:rsidRPr="00B54AFD">
        <w:rPr>
          <w:rFonts w:cs="Arial"/>
          <w:b/>
        </w:rPr>
        <w:t>INFORME GLOBAL CON LAS OBSERVACIONES Y COMENTARIOS</w:t>
      </w:r>
    </w:p>
    <w:p w:rsidR="00630E52" w:rsidRDefault="00630E52" w:rsidP="00A53B73">
      <w:pPr>
        <w:spacing w:after="0" w:line="240" w:lineRule="auto"/>
        <w:jc w:val="both"/>
        <w:rPr>
          <w:rFonts w:cs="Arial"/>
        </w:rPr>
      </w:pPr>
    </w:p>
    <w:p w:rsidR="006C2E95" w:rsidRPr="000A574B" w:rsidRDefault="006C2E95" w:rsidP="006C2E95">
      <w:pPr>
        <w:spacing w:after="0" w:line="240" w:lineRule="auto"/>
        <w:jc w:val="both"/>
        <w:rPr>
          <w:rFonts w:eastAsia="Times New Roman" w:cs="Arial"/>
          <w:lang w:eastAsia="es-ES"/>
        </w:rPr>
      </w:pPr>
      <w:r w:rsidRPr="000A574B">
        <w:rPr>
          <w:rFonts w:eastAsia="Times New Roman" w:cs="Arial"/>
          <w:lang w:eastAsia="es-ES"/>
        </w:rPr>
        <w:t>El informe global con la evaluación, por categorías, de las observaciones y comentarios de los ciudadanos y grupos de interés hacen parte de esta memoria justificativa y se encuentran contenidos en un solo documento con la matriz de que trata el numeral 10.</w:t>
      </w:r>
    </w:p>
    <w:p w:rsidR="006C2E95" w:rsidRDefault="006C2E95" w:rsidP="006863A5">
      <w:pPr>
        <w:spacing w:after="0" w:line="240" w:lineRule="auto"/>
        <w:jc w:val="both"/>
        <w:rPr>
          <w:rFonts w:cs="Arial"/>
        </w:rPr>
      </w:pPr>
    </w:p>
    <w:p w:rsidR="0052583D" w:rsidRDefault="006C2E95" w:rsidP="006863A5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(</w:t>
      </w:r>
      <w:r w:rsidR="00630E52">
        <w:rPr>
          <w:rFonts w:cs="Arial"/>
        </w:rPr>
        <w:t>PENDIENTE DE DILIGENCIAR, DEPENDIENDO DE LOS COMENTARIOS QUE SE RECIBAN</w:t>
      </w:r>
      <w:r>
        <w:rPr>
          <w:rFonts w:cs="Arial"/>
        </w:rPr>
        <w:t>)</w:t>
      </w:r>
    </w:p>
    <w:p w:rsidR="004A1E79" w:rsidRPr="00034B31" w:rsidRDefault="004A1E79" w:rsidP="004A1E79">
      <w:pPr>
        <w:spacing w:after="0" w:line="240" w:lineRule="auto"/>
        <w:jc w:val="both"/>
        <w:rPr>
          <w:rFonts w:cs="Arial"/>
        </w:rPr>
      </w:pPr>
    </w:p>
    <w:p w:rsidR="00D5445E" w:rsidRPr="00651B9E" w:rsidRDefault="00D5445E" w:rsidP="00034B31">
      <w:pPr>
        <w:spacing w:after="0" w:line="240" w:lineRule="auto"/>
        <w:jc w:val="both"/>
        <w:rPr>
          <w:rFonts w:cs="Arial"/>
        </w:rPr>
      </w:pPr>
      <w:r w:rsidRPr="00651B9E">
        <w:rPr>
          <w:rFonts w:cs="Arial"/>
        </w:rPr>
        <w:t xml:space="preserve">La presente Memoria Justificativa </w:t>
      </w:r>
      <w:r w:rsidR="00034B31">
        <w:rPr>
          <w:rFonts w:cs="Arial"/>
          <w:sz w:val="21"/>
          <w:szCs w:val="21"/>
        </w:rPr>
        <w:t xml:space="preserve">fue elaborada por </w:t>
      </w:r>
      <w:r w:rsidR="00D07AE2">
        <w:rPr>
          <w:rFonts w:cs="Arial"/>
          <w:sz w:val="21"/>
          <w:szCs w:val="21"/>
        </w:rPr>
        <w:t>el Grupo de Regalías</w:t>
      </w:r>
      <w:r w:rsidR="00034B31">
        <w:rPr>
          <w:rFonts w:cs="Arial"/>
          <w:sz w:val="21"/>
          <w:szCs w:val="21"/>
        </w:rPr>
        <w:t xml:space="preserve"> </w:t>
      </w:r>
      <w:r w:rsidR="00034B31" w:rsidRPr="00DB2317">
        <w:rPr>
          <w:rFonts w:cs="Arial"/>
          <w:sz w:val="21"/>
          <w:szCs w:val="21"/>
        </w:rPr>
        <w:t xml:space="preserve">el </w:t>
      </w:r>
      <w:r w:rsidR="00A53B73">
        <w:rPr>
          <w:rFonts w:cs="Arial"/>
          <w:sz w:val="21"/>
          <w:szCs w:val="21"/>
        </w:rPr>
        <w:t xml:space="preserve">18 de julio de 2017 </w:t>
      </w:r>
      <w:r w:rsidR="00034B31">
        <w:rPr>
          <w:rFonts w:cs="Arial"/>
          <w:sz w:val="21"/>
          <w:szCs w:val="21"/>
        </w:rPr>
        <w:t>y la viabilidad jurídica cuenta con la revisión y visto bueno de la Oficina Asesora Jurídica</w:t>
      </w:r>
      <w:r w:rsidR="00186F44" w:rsidRPr="00651B9E">
        <w:rPr>
          <w:rFonts w:cs="Arial"/>
        </w:rPr>
        <w:t>.</w:t>
      </w:r>
    </w:p>
    <w:p w:rsidR="00D5445E" w:rsidRPr="004A1E79" w:rsidRDefault="00D5445E" w:rsidP="006863A5">
      <w:pPr>
        <w:spacing w:after="0" w:line="240" w:lineRule="auto"/>
        <w:jc w:val="both"/>
        <w:rPr>
          <w:rFonts w:cs="Arial"/>
        </w:rPr>
      </w:pPr>
    </w:p>
    <w:p w:rsidR="00A551D5" w:rsidRPr="00034B31" w:rsidRDefault="00A551D5" w:rsidP="006863A5">
      <w:pPr>
        <w:spacing w:after="0" w:line="240" w:lineRule="auto"/>
        <w:jc w:val="both"/>
        <w:rPr>
          <w:rFonts w:cs="Arial"/>
          <w:b/>
        </w:rPr>
      </w:pPr>
    </w:p>
    <w:p w:rsidR="001A5ABD" w:rsidRPr="00F92EAC" w:rsidRDefault="001A5ABD" w:rsidP="006863A5">
      <w:pPr>
        <w:spacing w:after="0" w:line="240" w:lineRule="auto"/>
        <w:jc w:val="both"/>
        <w:rPr>
          <w:rFonts w:cs="Arial"/>
          <w:b/>
        </w:rPr>
      </w:pPr>
    </w:p>
    <w:p w:rsidR="00526C34" w:rsidRPr="00651B9E" w:rsidRDefault="00526C34" w:rsidP="006863A5">
      <w:pPr>
        <w:spacing w:after="0" w:line="240" w:lineRule="auto"/>
        <w:jc w:val="both"/>
        <w:rPr>
          <w:rFonts w:cs="Arial"/>
          <w:b/>
        </w:rPr>
      </w:pPr>
    </w:p>
    <w:p w:rsidR="0021222F" w:rsidRPr="00651B9E" w:rsidRDefault="00914572" w:rsidP="0021222F">
      <w:pPr>
        <w:pStyle w:val="Textoindependiente"/>
        <w:ind w:right="425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KAREN LORENA BURGOS NEGRETTE</w:t>
      </w:r>
    </w:p>
    <w:p w:rsidR="0021222F" w:rsidRDefault="00D07AE2" w:rsidP="0021222F">
      <w:pPr>
        <w:pStyle w:val="Textoindependiente"/>
        <w:ind w:right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Coordinador</w:t>
      </w:r>
      <w:r w:rsidR="00914572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Grupo de Regalías</w:t>
      </w:r>
    </w:p>
    <w:p w:rsidR="00DB773A" w:rsidRPr="00651B9E" w:rsidRDefault="00DB773A" w:rsidP="0021222F">
      <w:pPr>
        <w:pStyle w:val="Textoindependiente"/>
        <w:ind w:right="425"/>
        <w:rPr>
          <w:rFonts w:cs="Arial"/>
          <w:sz w:val="22"/>
          <w:szCs w:val="22"/>
        </w:rPr>
      </w:pPr>
    </w:p>
    <w:p w:rsidR="0021222F" w:rsidRDefault="0021222F" w:rsidP="0021222F">
      <w:pPr>
        <w:pStyle w:val="ListaCC"/>
        <w:spacing w:after="0" w:line="240" w:lineRule="auto"/>
        <w:jc w:val="both"/>
        <w:rPr>
          <w:sz w:val="16"/>
          <w:szCs w:val="16"/>
        </w:rPr>
      </w:pPr>
      <w:r w:rsidRPr="00D34452">
        <w:rPr>
          <w:sz w:val="16"/>
          <w:szCs w:val="16"/>
        </w:rPr>
        <w:t xml:space="preserve">Proyectó: </w:t>
      </w:r>
      <w:r w:rsidR="00914572">
        <w:rPr>
          <w:sz w:val="16"/>
          <w:szCs w:val="16"/>
        </w:rPr>
        <w:t>Néstor Ortiz</w:t>
      </w:r>
    </w:p>
    <w:p w:rsidR="0021222F" w:rsidRPr="00D34452" w:rsidRDefault="0021222F" w:rsidP="0021222F">
      <w:pPr>
        <w:pStyle w:val="Lista"/>
        <w:spacing w:after="0" w:line="240" w:lineRule="auto"/>
        <w:jc w:val="both"/>
        <w:rPr>
          <w:sz w:val="16"/>
          <w:szCs w:val="16"/>
        </w:rPr>
      </w:pPr>
      <w:r w:rsidRPr="00D34452">
        <w:rPr>
          <w:sz w:val="16"/>
          <w:szCs w:val="16"/>
        </w:rPr>
        <w:t xml:space="preserve">Revisó:    </w:t>
      </w:r>
      <w:r w:rsidR="004A1E79">
        <w:rPr>
          <w:sz w:val="16"/>
          <w:szCs w:val="16"/>
        </w:rPr>
        <w:t>Juan Manuel Andrade Morantes/Yolanda Patiño Chacón</w:t>
      </w:r>
      <w:r w:rsidR="00B52E96">
        <w:rPr>
          <w:sz w:val="16"/>
          <w:szCs w:val="16"/>
        </w:rPr>
        <w:t>/</w:t>
      </w:r>
      <w:r w:rsidR="00A53B73">
        <w:rPr>
          <w:sz w:val="16"/>
          <w:szCs w:val="16"/>
        </w:rPr>
        <w:t>Óscar Omar Gómez Calderón/Sonia Catherine Ochoa S.</w:t>
      </w:r>
    </w:p>
    <w:p w:rsidR="00614FCF" w:rsidRPr="00D87576" w:rsidRDefault="0021222F" w:rsidP="00526C34">
      <w:pPr>
        <w:pStyle w:val="Lista"/>
        <w:spacing w:after="0" w:line="240" w:lineRule="auto"/>
        <w:jc w:val="both"/>
        <w:rPr>
          <w:rFonts w:cs="Arial"/>
          <w:sz w:val="16"/>
          <w:szCs w:val="16"/>
        </w:rPr>
      </w:pPr>
      <w:r w:rsidRPr="00D34452">
        <w:rPr>
          <w:sz w:val="16"/>
          <w:szCs w:val="16"/>
        </w:rPr>
        <w:t xml:space="preserve">Aprobó:   </w:t>
      </w:r>
      <w:r w:rsidR="00914572">
        <w:rPr>
          <w:sz w:val="16"/>
          <w:szCs w:val="16"/>
        </w:rPr>
        <w:t>Karen Lorena Burgos Negrette</w:t>
      </w:r>
    </w:p>
    <w:sectPr w:rsidR="00614FCF" w:rsidRPr="00D87576" w:rsidSect="0053616C">
      <w:headerReference w:type="default" r:id="rId9"/>
      <w:footerReference w:type="default" r:id="rId10"/>
      <w:pgSz w:w="12242" w:h="15842" w:code="1"/>
      <w:pgMar w:top="2155" w:right="1752" w:bottom="1418" w:left="1701" w:header="1559" w:footer="153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F09" w:rsidRDefault="00EB4F09" w:rsidP="00025374">
      <w:pPr>
        <w:spacing w:after="0" w:line="240" w:lineRule="auto"/>
      </w:pPr>
      <w:r>
        <w:separator/>
      </w:r>
    </w:p>
  </w:endnote>
  <w:endnote w:type="continuationSeparator" w:id="1">
    <w:p w:rsidR="00EB4F09" w:rsidRDefault="00EB4F09" w:rsidP="0002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70" w:rsidRPr="006437B2" w:rsidRDefault="00C41270" w:rsidP="00C41270">
    <w:pPr>
      <w:pStyle w:val="Piedepgina"/>
      <w:tabs>
        <w:tab w:val="clear" w:pos="4419"/>
      </w:tabs>
      <w:jc w:val="right"/>
      <w:rPr>
        <w:rFonts w:cs="Arial"/>
        <w:sz w:val="20"/>
        <w:szCs w:val="20"/>
      </w:rPr>
    </w:pPr>
    <w:r w:rsidRPr="006437B2">
      <w:rPr>
        <w:rFonts w:cs="Arial"/>
        <w:sz w:val="20"/>
        <w:szCs w:val="20"/>
      </w:rPr>
      <w:t xml:space="preserve">Página </w:t>
    </w:r>
    <w:r w:rsidRPr="006437B2">
      <w:rPr>
        <w:rFonts w:cs="Arial"/>
        <w:sz w:val="20"/>
        <w:szCs w:val="20"/>
      </w:rPr>
      <w:fldChar w:fldCharType="begin"/>
    </w:r>
    <w:r w:rsidRPr="006437B2">
      <w:rPr>
        <w:rFonts w:cs="Arial"/>
        <w:sz w:val="20"/>
        <w:szCs w:val="20"/>
      </w:rPr>
      <w:instrText xml:space="preserve"> PAGE  \* Arabic  \* MERGEFORMAT </w:instrText>
    </w:r>
    <w:r w:rsidRPr="006437B2">
      <w:rPr>
        <w:rFonts w:cs="Arial"/>
        <w:sz w:val="20"/>
        <w:szCs w:val="20"/>
      </w:rPr>
      <w:fldChar w:fldCharType="separate"/>
    </w:r>
    <w:r w:rsidR="00DF7591">
      <w:rPr>
        <w:rFonts w:cs="Arial"/>
        <w:noProof/>
        <w:sz w:val="20"/>
        <w:szCs w:val="20"/>
      </w:rPr>
      <w:t>5</w:t>
    </w:r>
    <w:r w:rsidRPr="006437B2">
      <w:rPr>
        <w:rFonts w:cs="Arial"/>
        <w:sz w:val="20"/>
        <w:szCs w:val="20"/>
      </w:rPr>
      <w:fldChar w:fldCharType="end"/>
    </w:r>
    <w:r w:rsidRPr="006437B2">
      <w:rPr>
        <w:rFonts w:cs="Arial"/>
        <w:sz w:val="20"/>
        <w:szCs w:val="20"/>
      </w:rPr>
      <w:t xml:space="preserve"> de</w:t>
    </w:r>
    <w:r>
      <w:rPr>
        <w:rFonts w:cs="Arial"/>
        <w:sz w:val="20"/>
        <w:szCs w:val="20"/>
      </w:rPr>
      <w:t xml:space="preserve"> </w:t>
    </w:r>
    <w:fldSimple w:instr=" NUMPAGES  \* Arabic  \* MERGEFORMAT ">
      <w:r w:rsidR="00DF7591">
        <w:rPr>
          <w:rFonts w:cs="Arial"/>
          <w:noProof/>
          <w:sz w:val="20"/>
          <w:szCs w:val="20"/>
        </w:rPr>
        <w:t>6</w:t>
      </w:r>
    </w:fldSimple>
  </w:p>
  <w:p w:rsidR="00C41270" w:rsidRDefault="00DF7591" w:rsidP="00C41270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55255" cy="969645"/>
          <wp:effectExtent l="1905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12EC3" w:rsidRPr="00C41270" w:rsidRDefault="00412EC3" w:rsidP="00C412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F09" w:rsidRDefault="00EB4F09" w:rsidP="00025374">
      <w:pPr>
        <w:spacing w:after="0" w:line="240" w:lineRule="auto"/>
      </w:pPr>
      <w:r>
        <w:separator/>
      </w:r>
    </w:p>
  </w:footnote>
  <w:footnote w:type="continuationSeparator" w:id="1">
    <w:p w:rsidR="00EB4F09" w:rsidRDefault="00EB4F09" w:rsidP="00025374">
      <w:pPr>
        <w:spacing w:after="0" w:line="240" w:lineRule="auto"/>
      </w:pPr>
      <w:r>
        <w:continuationSeparator/>
      </w:r>
    </w:p>
  </w:footnote>
  <w:footnote w:id="2">
    <w:p w:rsidR="00D457CD" w:rsidRPr="006C2E95" w:rsidRDefault="00D457CD">
      <w:pPr>
        <w:pStyle w:val="Textonotapie"/>
        <w:rPr>
          <w:sz w:val="16"/>
          <w:szCs w:val="16"/>
        </w:rPr>
      </w:pPr>
      <w:r w:rsidRPr="006C2E95">
        <w:rPr>
          <w:rStyle w:val="Refdenotaalpie"/>
          <w:sz w:val="16"/>
          <w:szCs w:val="16"/>
        </w:rPr>
        <w:footnoteRef/>
      </w:r>
      <w:r w:rsidRPr="006C2E95">
        <w:rPr>
          <w:sz w:val="16"/>
          <w:szCs w:val="16"/>
        </w:rPr>
        <w:t xml:space="preserve"> </w:t>
      </w:r>
      <w:r w:rsidR="00B15E07" w:rsidRPr="006C2E95">
        <w:rPr>
          <w:bCs/>
          <w:sz w:val="16"/>
          <w:szCs w:val="16"/>
        </w:rPr>
        <w:t>Por la cual se regula la organización y el funcionamiento del Sistema General de Regalías</w:t>
      </w:r>
      <w:r w:rsidR="00914572" w:rsidRPr="006C2E95">
        <w:rPr>
          <w:bCs/>
          <w:sz w:val="16"/>
          <w:szCs w:val="16"/>
        </w:rPr>
        <w:t>.</w:t>
      </w:r>
    </w:p>
  </w:footnote>
  <w:footnote w:id="3">
    <w:p w:rsidR="00914572" w:rsidRPr="006C2E95" w:rsidRDefault="00914572" w:rsidP="00914572">
      <w:pPr>
        <w:pStyle w:val="Textonotapie"/>
        <w:rPr>
          <w:sz w:val="16"/>
          <w:szCs w:val="16"/>
        </w:rPr>
      </w:pPr>
      <w:r w:rsidRPr="006C2E95">
        <w:rPr>
          <w:rStyle w:val="Refdenotaalpie"/>
          <w:sz w:val="16"/>
          <w:szCs w:val="16"/>
        </w:rPr>
        <w:footnoteRef/>
      </w:r>
      <w:r w:rsidRPr="006C2E95">
        <w:rPr>
          <w:sz w:val="16"/>
          <w:szCs w:val="16"/>
        </w:rPr>
        <w:t xml:space="preserve"> Por el cual se decreta el Presupuesto del Sistema General de Regalías para el bienio del 1° de enero de 2017 al 31 de diciembre de 2018.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C3" w:rsidRDefault="00DF7591" w:rsidP="00412EC3">
    <w:pPr>
      <w:pStyle w:val="Encabezado"/>
      <w:tabs>
        <w:tab w:val="clear" w:pos="4419"/>
        <w:tab w:val="clear" w:pos="8838"/>
      </w:tabs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4114800</wp:posOffset>
          </wp:positionH>
          <wp:positionV relativeFrom="page">
            <wp:posOffset>180975</wp:posOffset>
          </wp:positionV>
          <wp:extent cx="3206750" cy="680085"/>
          <wp:effectExtent l="19050" t="0" r="0" b="0"/>
          <wp:wrapNone/>
          <wp:docPr id="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D6B3A"/>
    <w:multiLevelType w:val="hybridMultilevel"/>
    <w:tmpl w:val="54828FB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1C98"/>
    <w:multiLevelType w:val="hybridMultilevel"/>
    <w:tmpl w:val="7B501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D1F35"/>
    <w:multiLevelType w:val="multilevel"/>
    <w:tmpl w:val="1F788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A62A18"/>
    <w:multiLevelType w:val="hybridMultilevel"/>
    <w:tmpl w:val="7B501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11879"/>
    <w:multiLevelType w:val="hybridMultilevel"/>
    <w:tmpl w:val="0504D6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0337D"/>
    <w:multiLevelType w:val="hybridMultilevel"/>
    <w:tmpl w:val="7B501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B56E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  <w:lvlOverride w:ilvl="0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trackRevision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pos w:val="sectEnd"/>
    <w:endnote w:id="0"/>
    <w:endnote w:id="1"/>
  </w:endnotePr>
  <w:compat/>
  <w:rsids>
    <w:rsidRoot w:val="00C422FD"/>
    <w:rsid w:val="00025374"/>
    <w:rsid w:val="00034B31"/>
    <w:rsid w:val="00036693"/>
    <w:rsid w:val="00053537"/>
    <w:rsid w:val="000611DE"/>
    <w:rsid w:val="00062D44"/>
    <w:rsid w:val="0008024E"/>
    <w:rsid w:val="000818FD"/>
    <w:rsid w:val="000B6924"/>
    <w:rsid w:val="000C2439"/>
    <w:rsid w:val="000D1843"/>
    <w:rsid w:val="000D238D"/>
    <w:rsid w:val="000F4606"/>
    <w:rsid w:val="00104A8E"/>
    <w:rsid w:val="00112F20"/>
    <w:rsid w:val="00113932"/>
    <w:rsid w:val="00151E98"/>
    <w:rsid w:val="00153B60"/>
    <w:rsid w:val="001560AD"/>
    <w:rsid w:val="001562E9"/>
    <w:rsid w:val="00172CDF"/>
    <w:rsid w:val="00174B47"/>
    <w:rsid w:val="00175DDD"/>
    <w:rsid w:val="00186B71"/>
    <w:rsid w:val="00186F44"/>
    <w:rsid w:val="00191B36"/>
    <w:rsid w:val="0019712D"/>
    <w:rsid w:val="001A28E7"/>
    <w:rsid w:val="001A5ABD"/>
    <w:rsid w:val="001A5D60"/>
    <w:rsid w:val="001D27AF"/>
    <w:rsid w:val="001E3666"/>
    <w:rsid w:val="0021222F"/>
    <w:rsid w:val="00214757"/>
    <w:rsid w:val="00215D76"/>
    <w:rsid w:val="00226F9B"/>
    <w:rsid w:val="00237C60"/>
    <w:rsid w:val="002401A6"/>
    <w:rsid w:val="002402F9"/>
    <w:rsid w:val="00247CA0"/>
    <w:rsid w:val="002507E2"/>
    <w:rsid w:val="002554BA"/>
    <w:rsid w:val="00266374"/>
    <w:rsid w:val="002918C1"/>
    <w:rsid w:val="002A04FF"/>
    <w:rsid w:val="002A1418"/>
    <w:rsid w:val="002A14FF"/>
    <w:rsid w:val="002B0763"/>
    <w:rsid w:val="002B3C86"/>
    <w:rsid w:val="002B7023"/>
    <w:rsid w:val="002C1463"/>
    <w:rsid w:val="002C3413"/>
    <w:rsid w:val="002C73D7"/>
    <w:rsid w:val="002E7544"/>
    <w:rsid w:val="00306327"/>
    <w:rsid w:val="00310CB2"/>
    <w:rsid w:val="0031102D"/>
    <w:rsid w:val="00315472"/>
    <w:rsid w:val="00322F0A"/>
    <w:rsid w:val="00343903"/>
    <w:rsid w:val="00351C02"/>
    <w:rsid w:val="00357296"/>
    <w:rsid w:val="00362B0B"/>
    <w:rsid w:val="003709E7"/>
    <w:rsid w:val="00372039"/>
    <w:rsid w:val="00372717"/>
    <w:rsid w:val="00382A42"/>
    <w:rsid w:val="003B0074"/>
    <w:rsid w:val="003C3C6E"/>
    <w:rsid w:val="003C63A6"/>
    <w:rsid w:val="003E18ED"/>
    <w:rsid w:val="003E1993"/>
    <w:rsid w:val="003F3C8F"/>
    <w:rsid w:val="00402D45"/>
    <w:rsid w:val="0040328E"/>
    <w:rsid w:val="00412EC3"/>
    <w:rsid w:val="00417D66"/>
    <w:rsid w:val="004221A7"/>
    <w:rsid w:val="00430745"/>
    <w:rsid w:val="0043270E"/>
    <w:rsid w:val="00451DC9"/>
    <w:rsid w:val="0045320A"/>
    <w:rsid w:val="00455D8E"/>
    <w:rsid w:val="00462FB5"/>
    <w:rsid w:val="00477347"/>
    <w:rsid w:val="00483FCA"/>
    <w:rsid w:val="004A1E79"/>
    <w:rsid w:val="004A6C76"/>
    <w:rsid w:val="004B57FF"/>
    <w:rsid w:val="004B65CE"/>
    <w:rsid w:val="004B66DD"/>
    <w:rsid w:val="004C0843"/>
    <w:rsid w:val="004D148C"/>
    <w:rsid w:val="004E2691"/>
    <w:rsid w:val="004E6B1C"/>
    <w:rsid w:val="00506453"/>
    <w:rsid w:val="005101D9"/>
    <w:rsid w:val="005117DD"/>
    <w:rsid w:val="0052583D"/>
    <w:rsid w:val="00526C34"/>
    <w:rsid w:val="0053616C"/>
    <w:rsid w:val="00546D97"/>
    <w:rsid w:val="00561CE4"/>
    <w:rsid w:val="00561DDB"/>
    <w:rsid w:val="00564A9A"/>
    <w:rsid w:val="00564AAF"/>
    <w:rsid w:val="0057166D"/>
    <w:rsid w:val="00574BFB"/>
    <w:rsid w:val="0058163A"/>
    <w:rsid w:val="00585266"/>
    <w:rsid w:val="005A1EA0"/>
    <w:rsid w:val="005B292E"/>
    <w:rsid w:val="005B5B3B"/>
    <w:rsid w:val="005C7B70"/>
    <w:rsid w:val="005E0417"/>
    <w:rsid w:val="005F7145"/>
    <w:rsid w:val="00603B4A"/>
    <w:rsid w:val="006072F4"/>
    <w:rsid w:val="00612ABE"/>
    <w:rsid w:val="00613765"/>
    <w:rsid w:val="00614FCF"/>
    <w:rsid w:val="00616805"/>
    <w:rsid w:val="006240FE"/>
    <w:rsid w:val="00624EFD"/>
    <w:rsid w:val="00627347"/>
    <w:rsid w:val="00630C88"/>
    <w:rsid w:val="00630E52"/>
    <w:rsid w:val="00632469"/>
    <w:rsid w:val="00651B9E"/>
    <w:rsid w:val="00657C3E"/>
    <w:rsid w:val="006600C7"/>
    <w:rsid w:val="00660FE4"/>
    <w:rsid w:val="00672854"/>
    <w:rsid w:val="0067454A"/>
    <w:rsid w:val="006863A5"/>
    <w:rsid w:val="0069383B"/>
    <w:rsid w:val="006A0F22"/>
    <w:rsid w:val="006A119F"/>
    <w:rsid w:val="006B2075"/>
    <w:rsid w:val="006B2FD0"/>
    <w:rsid w:val="006B3084"/>
    <w:rsid w:val="006C2E95"/>
    <w:rsid w:val="006C4FDE"/>
    <w:rsid w:val="006D1387"/>
    <w:rsid w:val="006D2B61"/>
    <w:rsid w:val="006D4A83"/>
    <w:rsid w:val="006D6EC0"/>
    <w:rsid w:val="007124ED"/>
    <w:rsid w:val="00726AA3"/>
    <w:rsid w:val="00731F96"/>
    <w:rsid w:val="00732AF7"/>
    <w:rsid w:val="00764325"/>
    <w:rsid w:val="007664E2"/>
    <w:rsid w:val="007748BE"/>
    <w:rsid w:val="0078060D"/>
    <w:rsid w:val="007B0335"/>
    <w:rsid w:val="007B1D4E"/>
    <w:rsid w:val="007C0F46"/>
    <w:rsid w:val="007C77AC"/>
    <w:rsid w:val="007D55FF"/>
    <w:rsid w:val="007D565D"/>
    <w:rsid w:val="007F04F0"/>
    <w:rsid w:val="007F0B94"/>
    <w:rsid w:val="007F7A47"/>
    <w:rsid w:val="00803B2C"/>
    <w:rsid w:val="008232CB"/>
    <w:rsid w:val="0083589F"/>
    <w:rsid w:val="00841CB2"/>
    <w:rsid w:val="0088569B"/>
    <w:rsid w:val="00887EC3"/>
    <w:rsid w:val="008946BD"/>
    <w:rsid w:val="00895B1D"/>
    <w:rsid w:val="008A0DE6"/>
    <w:rsid w:val="008A23D8"/>
    <w:rsid w:val="008A5F3D"/>
    <w:rsid w:val="008B0A66"/>
    <w:rsid w:val="008B732D"/>
    <w:rsid w:val="008C693A"/>
    <w:rsid w:val="008D25B7"/>
    <w:rsid w:val="008D5D78"/>
    <w:rsid w:val="008D6002"/>
    <w:rsid w:val="008E37DE"/>
    <w:rsid w:val="00904532"/>
    <w:rsid w:val="00914572"/>
    <w:rsid w:val="0091496E"/>
    <w:rsid w:val="00916101"/>
    <w:rsid w:val="009221A5"/>
    <w:rsid w:val="00924AB3"/>
    <w:rsid w:val="00926C47"/>
    <w:rsid w:val="00952BB4"/>
    <w:rsid w:val="009555E1"/>
    <w:rsid w:val="00955C8F"/>
    <w:rsid w:val="00961CFD"/>
    <w:rsid w:val="00971902"/>
    <w:rsid w:val="00977069"/>
    <w:rsid w:val="00980ECC"/>
    <w:rsid w:val="00985831"/>
    <w:rsid w:val="00990B16"/>
    <w:rsid w:val="009A2E61"/>
    <w:rsid w:val="009B260B"/>
    <w:rsid w:val="009D08CD"/>
    <w:rsid w:val="009D2BA6"/>
    <w:rsid w:val="009F39AB"/>
    <w:rsid w:val="009F5F5A"/>
    <w:rsid w:val="009F6F54"/>
    <w:rsid w:val="00A03EBE"/>
    <w:rsid w:val="00A2549A"/>
    <w:rsid w:val="00A332F9"/>
    <w:rsid w:val="00A461D1"/>
    <w:rsid w:val="00A5371D"/>
    <w:rsid w:val="00A53B73"/>
    <w:rsid w:val="00A551D5"/>
    <w:rsid w:val="00A65D87"/>
    <w:rsid w:val="00A76612"/>
    <w:rsid w:val="00A86E15"/>
    <w:rsid w:val="00A90E62"/>
    <w:rsid w:val="00AB4DDF"/>
    <w:rsid w:val="00AB6329"/>
    <w:rsid w:val="00AB6BDE"/>
    <w:rsid w:val="00AC37ED"/>
    <w:rsid w:val="00AD1767"/>
    <w:rsid w:val="00AD401E"/>
    <w:rsid w:val="00AE272F"/>
    <w:rsid w:val="00B15E07"/>
    <w:rsid w:val="00B17235"/>
    <w:rsid w:val="00B20D65"/>
    <w:rsid w:val="00B21C2F"/>
    <w:rsid w:val="00B22BD8"/>
    <w:rsid w:val="00B37DE7"/>
    <w:rsid w:val="00B52E96"/>
    <w:rsid w:val="00B530C5"/>
    <w:rsid w:val="00B54AFD"/>
    <w:rsid w:val="00B61305"/>
    <w:rsid w:val="00B677CE"/>
    <w:rsid w:val="00B95A21"/>
    <w:rsid w:val="00BA2715"/>
    <w:rsid w:val="00BA4EE2"/>
    <w:rsid w:val="00BB520C"/>
    <w:rsid w:val="00BB6F33"/>
    <w:rsid w:val="00BF000F"/>
    <w:rsid w:val="00BF657D"/>
    <w:rsid w:val="00C06103"/>
    <w:rsid w:val="00C106DB"/>
    <w:rsid w:val="00C137A4"/>
    <w:rsid w:val="00C378EE"/>
    <w:rsid w:val="00C41270"/>
    <w:rsid w:val="00C422FD"/>
    <w:rsid w:val="00C50E64"/>
    <w:rsid w:val="00C6159E"/>
    <w:rsid w:val="00C65D17"/>
    <w:rsid w:val="00C810EF"/>
    <w:rsid w:val="00C91D79"/>
    <w:rsid w:val="00C941E7"/>
    <w:rsid w:val="00CB0683"/>
    <w:rsid w:val="00CB1CB0"/>
    <w:rsid w:val="00CE3F56"/>
    <w:rsid w:val="00D06510"/>
    <w:rsid w:val="00D07AE2"/>
    <w:rsid w:val="00D14A27"/>
    <w:rsid w:val="00D150CB"/>
    <w:rsid w:val="00D200D0"/>
    <w:rsid w:val="00D22F34"/>
    <w:rsid w:val="00D23315"/>
    <w:rsid w:val="00D31E1A"/>
    <w:rsid w:val="00D35617"/>
    <w:rsid w:val="00D35CCE"/>
    <w:rsid w:val="00D361D8"/>
    <w:rsid w:val="00D36759"/>
    <w:rsid w:val="00D457CD"/>
    <w:rsid w:val="00D46A49"/>
    <w:rsid w:val="00D504BD"/>
    <w:rsid w:val="00D52F39"/>
    <w:rsid w:val="00D5445E"/>
    <w:rsid w:val="00D60E8B"/>
    <w:rsid w:val="00D62B53"/>
    <w:rsid w:val="00D62E38"/>
    <w:rsid w:val="00D67D5D"/>
    <w:rsid w:val="00D87576"/>
    <w:rsid w:val="00D947D2"/>
    <w:rsid w:val="00D94FA3"/>
    <w:rsid w:val="00DB4152"/>
    <w:rsid w:val="00DB773A"/>
    <w:rsid w:val="00DC0F46"/>
    <w:rsid w:val="00DD591B"/>
    <w:rsid w:val="00DE1B9F"/>
    <w:rsid w:val="00DF7591"/>
    <w:rsid w:val="00E12149"/>
    <w:rsid w:val="00E16B39"/>
    <w:rsid w:val="00E173DA"/>
    <w:rsid w:val="00E363A1"/>
    <w:rsid w:val="00E4085E"/>
    <w:rsid w:val="00E5496D"/>
    <w:rsid w:val="00E55D14"/>
    <w:rsid w:val="00E5675B"/>
    <w:rsid w:val="00E73C79"/>
    <w:rsid w:val="00E87587"/>
    <w:rsid w:val="00E9343A"/>
    <w:rsid w:val="00E93B2C"/>
    <w:rsid w:val="00E95C45"/>
    <w:rsid w:val="00EA3D13"/>
    <w:rsid w:val="00EA6F43"/>
    <w:rsid w:val="00EB0BE4"/>
    <w:rsid w:val="00EB4F09"/>
    <w:rsid w:val="00EF0F60"/>
    <w:rsid w:val="00F0221C"/>
    <w:rsid w:val="00F10431"/>
    <w:rsid w:val="00F15ED9"/>
    <w:rsid w:val="00F25575"/>
    <w:rsid w:val="00F31EDA"/>
    <w:rsid w:val="00F32094"/>
    <w:rsid w:val="00F36400"/>
    <w:rsid w:val="00F41E0C"/>
    <w:rsid w:val="00F43DD9"/>
    <w:rsid w:val="00F44343"/>
    <w:rsid w:val="00F730F0"/>
    <w:rsid w:val="00F836B7"/>
    <w:rsid w:val="00F86785"/>
    <w:rsid w:val="00F92EAC"/>
    <w:rsid w:val="00FC2006"/>
    <w:rsid w:val="00FD198C"/>
    <w:rsid w:val="00FF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D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374"/>
  </w:style>
  <w:style w:type="paragraph" w:styleId="Piedepgina">
    <w:name w:val="footer"/>
    <w:basedOn w:val="Normal"/>
    <w:link w:val="PiedepginaCar"/>
    <w:uiPriority w:val="99"/>
    <w:unhideWhenUsed/>
    <w:rsid w:val="00025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374"/>
  </w:style>
  <w:style w:type="paragraph" w:styleId="Textodeglobo">
    <w:name w:val="Balloon Text"/>
    <w:basedOn w:val="Normal"/>
    <w:link w:val="TextodegloboCar"/>
    <w:uiPriority w:val="99"/>
    <w:semiHidden/>
    <w:unhideWhenUsed/>
    <w:rsid w:val="0002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537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104A8E"/>
    <w:pPr>
      <w:spacing w:after="0" w:line="240" w:lineRule="auto"/>
      <w:jc w:val="both"/>
    </w:pPr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104A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5445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D5445E"/>
    <w:rPr>
      <w:rFonts w:ascii="Times New Roman" w:eastAsia="Times New Roman" w:hAnsi="Times New Roman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5445E"/>
    <w:pPr>
      <w:spacing w:before="120" w:after="0" w:line="240" w:lineRule="auto"/>
      <w:ind w:left="720"/>
      <w:contextualSpacing/>
      <w:jc w:val="both"/>
    </w:pPr>
    <w:rPr>
      <w:rFonts w:ascii="Calibri" w:eastAsia="Calibri" w:hAnsi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63A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6863A5"/>
    <w:rPr>
      <w:sz w:val="22"/>
      <w:szCs w:val="22"/>
      <w:lang w:eastAsia="en-US"/>
    </w:rPr>
  </w:style>
  <w:style w:type="paragraph" w:customStyle="1" w:styleId="Default">
    <w:name w:val="Default"/>
    <w:rsid w:val="006863A5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character" w:customStyle="1" w:styleId="apple-converted-space">
    <w:name w:val="apple-converted-space"/>
    <w:rsid w:val="00614FC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62B0B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62B0B"/>
    <w:rPr>
      <w:lang w:eastAsia="en-US"/>
    </w:rPr>
  </w:style>
  <w:style w:type="character" w:styleId="Refdenotaalfinal">
    <w:name w:val="endnote reference"/>
    <w:uiPriority w:val="99"/>
    <w:semiHidden/>
    <w:unhideWhenUsed/>
    <w:rsid w:val="00362B0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2B0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62B0B"/>
    <w:rPr>
      <w:lang w:eastAsia="en-US"/>
    </w:rPr>
  </w:style>
  <w:style w:type="character" w:styleId="Refdenotaalpie">
    <w:name w:val="footnote reference"/>
    <w:uiPriority w:val="99"/>
    <w:semiHidden/>
    <w:unhideWhenUsed/>
    <w:rsid w:val="00362B0B"/>
    <w:rPr>
      <w:vertAlign w:val="superscript"/>
    </w:rPr>
  </w:style>
  <w:style w:type="paragraph" w:styleId="Descripcin">
    <w:name w:val="Descripción"/>
    <w:basedOn w:val="Normal"/>
    <w:next w:val="Normal"/>
    <w:uiPriority w:val="35"/>
    <w:unhideWhenUsed/>
    <w:qFormat/>
    <w:rsid w:val="00660FE4"/>
    <w:rPr>
      <w:b/>
      <w:bCs/>
      <w:sz w:val="20"/>
      <w:szCs w:val="20"/>
    </w:rPr>
  </w:style>
  <w:style w:type="character" w:styleId="Refdecomentario">
    <w:name w:val="annotation reference"/>
    <w:uiPriority w:val="99"/>
    <w:semiHidden/>
    <w:unhideWhenUsed/>
    <w:rsid w:val="00C941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41E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C941E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41E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941E7"/>
    <w:rPr>
      <w:b/>
      <w:bCs/>
      <w:lang w:eastAsia="en-US"/>
    </w:rPr>
  </w:style>
  <w:style w:type="paragraph" w:styleId="Revisin">
    <w:name w:val="Revision"/>
    <w:hidden/>
    <w:uiPriority w:val="99"/>
    <w:semiHidden/>
    <w:rsid w:val="00B37DE7"/>
    <w:rPr>
      <w:sz w:val="22"/>
      <w:szCs w:val="22"/>
      <w:lang w:eastAsia="en-US"/>
    </w:rPr>
  </w:style>
  <w:style w:type="paragraph" w:customStyle="1" w:styleId="ListaCC">
    <w:name w:val="Lista CC."/>
    <w:basedOn w:val="Normal"/>
    <w:rsid w:val="0021222F"/>
  </w:style>
  <w:style w:type="paragraph" w:styleId="Lista">
    <w:name w:val="List"/>
    <w:basedOn w:val="Normal"/>
    <w:uiPriority w:val="99"/>
    <w:unhideWhenUsed/>
    <w:rsid w:val="0021222F"/>
    <w:pPr>
      <w:ind w:left="283" w:hanging="283"/>
      <w:contextualSpacing/>
    </w:pPr>
  </w:style>
  <w:style w:type="character" w:styleId="Hipervnculo">
    <w:name w:val="Hyperlink"/>
    <w:uiPriority w:val="99"/>
    <w:unhideWhenUsed/>
    <w:rsid w:val="00F92EAC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7B0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minas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orena\Desktop\EN%20PROCESO\HOJA%20MEMBRETEADA\HojaMembreteadaB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8BEAF-DC40-4234-8982-70789581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HojaMembreteadaBN</Template>
  <TotalTime>1</TotalTime>
  <Pages>5</Pages>
  <Words>1656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Links>
    <vt:vector size="6" baseType="variant"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http://www.minminas.gov.co/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Norena Botero</dc:creator>
  <cp:lastModifiedBy>LENOVO</cp:lastModifiedBy>
  <cp:revision>2</cp:revision>
  <cp:lastPrinted>2016-06-01T15:28:00Z</cp:lastPrinted>
  <dcterms:created xsi:type="dcterms:W3CDTF">2017-07-18T19:24:00Z</dcterms:created>
  <dcterms:modified xsi:type="dcterms:W3CDTF">2017-07-18T19:24:00Z</dcterms:modified>
</cp:coreProperties>
</file>