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85F93" w14:textId="77777777" w:rsidR="000604E5" w:rsidRPr="00FA3F0A" w:rsidRDefault="000604E5" w:rsidP="005C3BE8">
      <w:pPr>
        <w:pStyle w:val="Textoindependiente"/>
        <w:jc w:val="center"/>
        <w:rPr>
          <w:rFonts w:cs="Arial"/>
          <w:b/>
          <w:szCs w:val="24"/>
          <w:lang w:val="es-CO"/>
        </w:rPr>
      </w:pPr>
      <w:r w:rsidRPr="00FA3F0A">
        <w:rPr>
          <w:rFonts w:cs="Arial"/>
          <w:b/>
          <w:szCs w:val="24"/>
          <w:lang w:val="es-CO"/>
        </w:rPr>
        <w:t>MEMORIA JUSTIFICATIVA</w:t>
      </w:r>
    </w:p>
    <w:p w14:paraId="461779F8" w14:textId="77777777" w:rsidR="000604E5" w:rsidRPr="00FA3F0A" w:rsidRDefault="000604E5" w:rsidP="00C016D1">
      <w:pPr>
        <w:pStyle w:val="Textoindependiente"/>
        <w:jc w:val="center"/>
        <w:rPr>
          <w:rFonts w:cs="Arial"/>
          <w:b/>
          <w:szCs w:val="24"/>
          <w:lang w:val="es-CO"/>
        </w:rPr>
      </w:pPr>
    </w:p>
    <w:p w14:paraId="0DAF0AB2" w14:textId="77777777" w:rsidR="000604E5" w:rsidRPr="00FA3F0A" w:rsidRDefault="000604E5" w:rsidP="00C016D1">
      <w:pPr>
        <w:pStyle w:val="Textoindependiente"/>
        <w:jc w:val="center"/>
        <w:rPr>
          <w:rFonts w:cs="Arial"/>
          <w:b/>
          <w:szCs w:val="24"/>
          <w:lang w:val="es-CO"/>
        </w:rPr>
      </w:pPr>
      <w:r w:rsidRPr="00FA3F0A">
        <w:rPr>
          <w:rFonts w:cs="Arial"/>
          <w:b/>
          <w:szCs w:val="24"/>
          <w:lang w:val="es-CO"/>
        </w:rPr>
        <w:t>PROYECTO DE DECRETO</w:t>
      </w:r>
    </w:p>
    <w:p w14:paraId="0F39FBD9" w14:textId="77777777" w:rsidR="000604E5" w:rsidRPr="00FA3F0A" w:rsidRDefault="000604E5" w:rsidP="00C016D1">
      <w:pPr>
        <w:pStyle w:val="Textoindependiente"/>
        <w:jc w:val="center"/>
        <w:rPr>
          <w:rFonts w:cs="Arial"/>
          <w:b/>
          <w:szCs w:val="24"/>
          <w:lang w:val="es-CO"/>
        </w:rPr>
      </w:pPr>
    </w:p>
    <w:p w14:paraId="1F705C00" w14:textId="217C0BDE" w:rsidR="0070633A" w:rsidRPr="00FA3F0A" w:rsidRDefault="0070633A" w:rsidP="00FA3F0A">
      <w:pPr>
        <w:autoSpaceDE w:val="0"/>
        <w:autoSpaceDN w:val="0"/>
        <w:adjustRightInd w:val="0"/>
        <w:spacing w:line="240" w:lineRule="auto"/>
        <w:ind w:left="284" w:right="-425"/>
        <w:jc w:val="center"/>
        <w:rPr>
          <w:rFonts w:cs="Arial"/>
          <w:iCs/>
          <w:sz w:val="24"/>
          <w:szCs w:val="24"/>
        </w:rPr>
      </w:pPr>
      <w:r w:rsidRPr="00FA3F0A">
        <w:rPr>
          <w:rFonts w:cs="Arial"/>
          <w:iCs/>
          <w:sz w:val="24"/>
          <w:szCs w:val="24"/>
        </w:rPr>
        <w:t xml:space="preserve">Por el cual se reglamenta el Fondo de Energías </w:t>
      </w:r>
      <w:r w:rsidR="001C48FB">
        <w:rPr>
          <w:rFonts w:cs="Arial"/>
          <w:iCs/>
          <w:sz w:val="24"/>
          <w:szCs w:val="24"/>
        </w:rPr>
        <w:t>No Convencionales</w:t>
      </w:r>
      <w:r w:rsidR="001C48FB" w:rsidRPr="00FA3F0A">
        <w:rPr>
          <w:rFonts w:cs="Arial"/>
          <w:iCs/>
          <w:sz w:val="24"/>
          <w:szCs w:val="24"/>
        </w:rPr>
        <w:t xml:space="preserve"> </w:t>
      </w:r>
      <w:r w:rsidRPr="00FA3F0A">
        <w:rPr>
          <w:rFonts w:cs="Arial"/>
          <w:iCs/>
          <w:sz w:val="24"/>
          <w:szCs w:val="24"/>
        </w:rPr>
        <w:t xml:space="preserve">y Gestión Eficiente de la Energía - FENOGE, adicionando </w:t>
      </w:r>
      <w:r w:rsidRPr="00FA3F0A">
        <w:rPr>
          <w:rFonts w:cs="Arial"/>
          <w:bCs/>
          <w:iCs/>
          <w:sz w:val="24"/>
          <w:szCs w:val="24"/>
        </w:rPr>
        <w:t xml:space="preserve">una Sección 5 al Capítulo 3 del Título III del Decreto </w:t>
      </w:r>
      <w:r w:rsidR="003B06EF">
        <w:rPr>
          <w:rFonts w:cs="Arial"/>
          <w:bCs/>
          <w:iCs/>
          <w:sz w:val="24"/>
          <w:szCs w:val="24"/>
        </w:rPr>
        <w:t xml:space="preserve">Único Reglamentario del Sector Administrativo de Minas y Energía Nº </w:t>
      </w:r>
      <w:r w:rsidRPr="00FA3F0A">
        <w:rPr>
          <w:rFonts w:cs="Arial"/>
          <w:bCs/>
          <w:iCs/>
          <w:sz w:val="24"/>
          <w:szCs w:val="24"/>
        </w:rPr>
        <w:t>1073 de 2015</w:t>
      </w:r>
      <w:r w:rsidRPr="00FA3F0A">
        <w:rPr>
          <w:rFonts w:cs="Arial"/>
          <w:iCs/>
          <w:sz w:val="24"/>
          <w:szCs w:val="24"/>
        </w:rPr>
        <w:t xml:space="preserve"> </w:t>
      </w:r>
    </w:p>
    <w:p w14:paraId="3BB61053" w14:textId="77777777" w:rsidR="000604E5" w:rsidRPr="00FA3F0A" w:rsidRDefault="000604E5" w:rsidP="005C3BE8">
      <w:pPr>
        <w:pStyle w:val="Prrafodelista"/>
        <w:ind w:left="142"/>
        <w:jc w:val="center"/>
        <w:rPr>
          <w:rFonts w:ascii="Arial" w:hAnsi="Arial" w:cs="Arial"/>
          <w:b/>
          <w:sz w:val="24"/>
          <w:szCs w:val="24"/>
        </w:rPr>
      </w:pPr>
      <w:r w:rsidRPr="00FA3F0A">
        <w:rPr>
          <w:rFonts w:ascii="Arial" w:hAnsi="Arial" w:cs="Arial"/>
          <w:color w:val="000000"/>
          <w:sz w:val="24"/>
          <w:szCs w:val="24"/>
        </w:rPr>
        <w:t xml:space="preserve"> </w:t>
      </w:r>
    </w:p>
    <w:p w14:paraId="529D1545" w14:textId="77777777" w:rsidR="000604E5" w:rsidRPr="00FA3F0A" w:rsidRDefault="000604E5" w:rsidP="005C3BE8">
      <w:pPr>
        <w:pStyle w:val="Textoindependiente"/>
        <w:numPr>
          <w:ilvl w:val="0"/>
          <w:numId w:val="1"/>
        </w:numPr>
        <w:jc w:val="left"/>
        <w:rPr>
          <w:rFonts w:cs="Arial"/>
          <w:b/>
          <w:szCs w:val="24"/>
          <w:lang w:val="es-CO"/>
        </w:rPr>
      </w:pPr>
      <w:r w:rsidRPr="00FA3F0A">
        <w:rPr>
          <w:rFonts w:cs="Arial"/>
          <w:b/>
          <w:szCs w:val="24"/>
          <w:lang w:val="es-CO"/>
        </w:rPr>
        <w:t>ANTECEDENTES, OPORTUNIDAD Y CONVENIENCIA</w:t>
      </w:r>
    </w:p>
    <w:p w14:paraId="6F45DF17" w14:textId="77777777" w:rsidR="00B314EF" w:rsidRPr="00FA3F0A" w:rsidRDefault="00B314EF" w:rsidP="00C016D1">
      <w:pPr>
        <w:pStyle w:val="Textoindependiente"/>
        <w:ind w:left="720"/>
        <w:jc w:val="left"/>
        <w:rPr>
          <w:rFonts w:cs="Arial"/>
          <w:b/>
          <w:szCs w:val="24"/>
          <w:lang w:val="es-CO"/>
        </w:rPr>
      </w:pPr>
    </w:p>
    <w:p w14:paraId="668C6C31" w14:textId="19D488C7" w:rsidR="00B314EF" w:rsidRPr="00FA3F0A" w:rsidRDefault="00CD56EE" w:rsidP="00600C01">
      <w:pPr>
        <w:shd w:val="clear" w:color="auto" w:fill="FFFFFF"/>
        <w:tabs>
          <w:tab w:val="left" w:pos="9214"/>
        </w:tabs>
        <w:spacing w:after="0" w:line="240" w:lineRule="auto"/>
        <w:ind w:right="-425"/>
        <w:jc w:val="both"/>
        <w:rPr>
          <w:rFonts w:cs="Arial"/>
          <w:color w:val="000000"/>
          <w:sz w:val="24"/>
          <w:szCs w:val="24"/>
          <w:shd w:val="clear" w:color="auto" w:fill="FFFFFF"/>
        </w:rPr>
      </w:pPr>
      <w:r w:rsidRPr="00FA3F0A">
        <w:rPr>
          <w:rFonts w:cs="Arial"/>
          <w:color w:val="000000"/>
          <w:sz w:val="24"/>
          <w:szCs w:val="24"/>
          <w:shd w:val="clear" w:color="auto" w:fill="FFFFFF"/>
        </w:rPr>
        <w:t xml:space="preserve">El </w:t>
      </w:r>
      <w:r w:rsidR="00B314EF" w:rsidRPr="00FA3F0A">
        <w:rPr>
          <w:rFonts w:cs="Arial"/>
          <w:color w:val="000000"/>
          <w:sz w:val="24"/>
          <w:szCs w:val="24"/>
          <w:shd w:val="clear" w:color="auto" w:fill="FFFFFF"/>
        </w:rPr>
        <w:t>artículo 365 de la Constitución Política estable</w:t>
      </w:r>
      <w:r w:rsidR="00600C01">
        <w:rPr>
          <w:rFonts w:cs="Arial"/>
          <w:color w:val="000000"/>
          <w:sz w:val="24"/>
          <w:szCs w:val="24"/>
          <w:shd w:val="clear" w:color="auto" w:fill="FFFFFF"/>
        </w:rPr>
        <w:t>ce</w:t>
      </w:r>
      <w:r w:rsidR="00B314EF" w:rsidRPr="00FA3F0A">
        <w:rPr>
          <w:rFonts w:cs="Arial"/>
          <w:color w:val="000000"/>
          <w:sz w:val="24"/>
          <w:szCs w:val="24"/>
          <w:shd w:val="clear" w:color="auto" w:fill="FFFFFF"/>
        </w:rPr>
        <w:t xml:space="preserve"> que los servicios públicos son inherentes a la finalidad social del Estado y es deber de este asegurar su prestación eficiente a todos los habitantes del territorio nacional.</w:t>
      </w:r>
    </w:p>
    <w:p w14:paraId="1F6924F1" w14:textId="77777777" w:rsidR="00600C01" w:rsidRDefault="00600C01" w:rsidP="00831942">
      <w:pPr>
        <w:spacing w:after="0" w:line="240" w:lineRule="auto"/>
        <w:ind w:right="-425"/>
        <w:jc w:val="both"/>
        <w:rPr>
          <w:rFonts w:cs="Arial"/>
          <w:sz w:val="24"/>
          <w:szCs w:val="24"/>
        </w:rPr>
      </w:pPr>
    </w:p>
    <w:p w14:paraId="4E6C0DFA" w14:textId="73A984AA" w:rsidR="001D28D3" w:rsidRPr="00831942" w:rsidRDefault="001D28D3" w:rsidP="001D28D3">
      <w:pPr>
        <w:autoSpaceDE w:val="0"/>
        <w:autoSpaceDN w:val="0"/>
        <w:adjustRightInd w:val="0"/>
        <w:ind w:right="-425"/>
        <w:jc w:val="both"/>
        <w:rPr>
          <w:rFonts w:cs="Arial"/>
          <w:sz w:val="24"/>
          <w:szCs w:val="24"/>
        </w:rPr>
      </w:pPr>
      <w:r>
        <w:rPr>
          <w:rFonts w:cs="Arial"/>
          <w:sz w:val="24"/>
          <w:szCs w:val="24"/>
        </w:rPr>
        <w:t>E</w:t>
      </w:r>
      <w:r w:rsidRPr="00831942">
        <w:rPr>
          <w:rFonts w:cs="Arial"/>
          <w:sz w:val="24"/>
          <w:szCs w:val="24"/>
        </w:rPr>
        <w:t>l artículo 1 de la Ley 697 de 2001 declaró el uso racional y eficiente de la energía como un asunto de interés social, público y de conveniencia nacional, fundamental para asegurar el abastecimiento energético pleno y oportuno, la competitividad de la economía colombiana, la protección al consumidor y la promoción de energías no convencionales de manera sostenible con el medio ambiente y los recursos naturales.</w:t>
      </w:r>
    </w:p>
    <w:p w14:paraId="01F59077" w14:textId="18BD6AA0" w:rsidR="001D28D3" w:rsidRPr="00831942" w:rsidRDefault="001D28D3" w:rsidP="001D28D3">
      <w:pPr>
        <w:autoSpaceDE w:val="0"/>
        <w:autoSpaceDN w:val="0"/>
        <w:adjustRightInd w:val="0"/>
        <w:ind w:right="-425"/>
        <w:jc w:val="both"/>
        <w:rPr>
          <w:rFonts w:cs="Arial"/>
          <w:sz w:val="24"/>
          <w:szCs w:val="24"/>
        </w:rPr>
      </w:pPr>
      <w:r>
        <w:rPr>
          <w:rFonts w:cs="Arial"/>
          <w:sz w:val="24"/>
          <w:szCs w:val="24"/>
        </w:rPr>
        <w:t>E</w:t>
      </w:r>
      <w:r w:rsidRPr="00831942">
        <w:rPr>
          <w:rFonts w:cs="Arial"/>
          <w:sz w:val="24"/>
          <w:szCs w:val="24"/>
        </w:rPr>
        <w:t>l artículo 4 de la Ley 697 de 2001 establece que el Ministerio de Minas y Energía será la entidad responsable de promover, organizar y asegurar el desarrollo y el seguimiento de los programas de uso racional y eficiente de la energía.</w:t>
      </w:r>
    </w:p>
    <w:p w14:paraId="40EF7C0D" w14:textId="0C9E0FA3" w:rsidR="001D28D3" w:rsidRPr="00831942" w:rsidRDefault="001D28D3" w:rsidP="001D28D3">
      <w:pPr>
        <w:autoSpaceDE w:val="0"/>
        <w:autoSpaceDN w:val="0"/>
        <w:adjustRightInd w:val="0"/>
        <w:ind w:right="-425"/>
        <w:jc w:val="both"/>
        <w:rPr>
          <w:rFonts w:cs="Arial"/>
          <w:sz w:val="24"/>
          <w:szCs w:val="24"/>
        </w:rPr>
      </w:pPr>
      <w:r>
        <w:rPr>
          <w:rFonts w:cs="Arial"/>
          <w:sz w:val="24"/>
          <w:szCs w:val="24"/>
        </w:rPr>
        <w:t>E</w:t>
      </w:r>
      <w:r w:rsidRPr="00831942">
        <w:rPr>
          <w:rFonts w:cs="Arial"/>
          <w:sz w:val="24"/>
          <w:szCs w:val="24"/>
        </w:rPr>
        <w:t xml:space="preserve">l artículo 2 de la Ley 143 de 1994 dispone que el Ministerio de Minas y Energía, en ejercicio de las funciones de regulación, planeación, coordinación y seguimiento de todas las actividades relacionadas con el servicio público de electricidad, definirá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 </w:t>
      </w:r>
    </w:p>
    <w:p w14:paraId="70B23A3B" w14:textId="548A16E1" w:rsidR="001D28D3" w:rsidRPr="00831942" w:rsidRDefault="001D28D3" w:rsidP="001D28D3">
      <w:pPr>
        <w:autoSpaceDE w:val="0"/>
        <w:autoSpaceDN w:val="0"/>
        <w:adjustRightInd w:val="0"/>
        <w:ind w:right="-425"/>
        <w:jc w:val="both"/>
        <w:rPr>
          <w:rFonts w:cs="Arial"/>
          <w:sz w:val="24"/>
          <w:szCs w:val="24"/>
        </w:rPr>
      </w:pPr>
      <w:r>
        <w:rPr>
          <w:rFonts w:cs="Arial"/>
          <w:sz w:val="24"/>
          <w:szCs w:val="24"/>
        </w:rPr>
        <w:t>E</w:t>
      </w:r>
      <w:r w:rsidRPr="00831942">
        <w:rPr>
          <w:rFonts w:cs="Arial"/>
          <w:sz w:val="24"/>
          <w:szCs w:val="24"/>
        </w:rPr>
        <w:t xml:space="preserve">l artículo 4 de la Ley 1715 de 2014 declaró la promoción, estímulo e incentivo al desarrollo de las actividades de producción y utilización de fuentes no convencionales de energía como un asunto de utilidad pública e interés social, público y de conveniencia nacional, fundamental para asegurar la diversificación del abastecimiento energético pleno y oportuno, la competitividad de la economía colombiana, la protección </w:t>
      </w:r>
      <w:r w:rsidRPr="00831942">
        <w:rPr>
          <w:rFonts w:cs="Arial"/>
          <w:sz w:val="24"/>
          <w:szCs w:val="24"/>
        </w:rPr>
        <w:lastRenderedPageBreak/>
        <w:t>del ambiente, el uso eficiente de la energía y la preservación y conservación de los recursos naturales renovables.</w:t>
      </w:r>
    </w:p>
    <w:p w14:paraId="713E48F1" w14:textId="7A0002FF" w:rsidR="00223B50" w:rsidRPr="00C016D1" w:rsidRDefault="002533A2" w:rsidP="00831942">
      <w:pPr>
        <w:autoSpaceDE w:val="0"/>
        <w:autoSpaceDN w:val="0"/>
        <w:adjustRightInd w:val="0"/>
        <w:ind w:right="-425"/>
        <w:jc w:val="both"/>
        <w:rPr>
          <w:rFonts w:cs="Arial"/>
          <w:sz w:val="24"/>
          <w:szCs w:val="24"/>
        </w:rPr>
      </w:pPr>
      <w:r>
        <w:rPr>
          <w:rFonts w:cs="Arial"/>
          <w:sz w:val="24"/>
          <w:szCs w:val="24"/>
        </w:rPr>
        <w:t>Por su parte e</w:t>
      </w:r>
      <w:r w:rsidR="00223B50" w:rsidRPr="005C3BE8">
        <w:rPr>
          <w:rFonts w:cs="Arial"/>
          <w:sz w:val="24"/>
          <w:szCs w:val="24"/>
        </w:rPr>
        <w:t>l Ministerio de Minas y Energía es la entidad responsable de adoptar e implementar políticas públicas relacionadas con el uso racional de energía, de promover, organizar y asegurar el desarrollo y el seguimiento de los programas de uso racional y eficiente de la energía, pud</w:t>
      </w:r>
      <w:r w:rsidR="00223B50" w:rsidRPr="004C6673">
        <w:rPr>
          <w:rFonts w:cs="Arial"/>
          <w:sz w:val="24"/>
          <w:szCs w:val="24"/>
        </w:rPr>
        <w:t xml:space="preserve">iendo establecer mecanismos o instrumentos institucionales a través de los cuales pueda desarrollarla, de forma tal que se asegure el suministro energético a través de la implementación de medidas de Eficiencia Energética y respuesta de la demanda. </w:t>
      </w:r>
    </w:p>
    <w:p w14:paraId="16F7B7B6" w14:textId="41D192F4" w:rsidR="00510142" w:rsidRPr="00831942" w:rsidRDefault="00510142" w:rsidP="00831942">
      <w:pPr>
        <w:autoSpaceDE w:val="0"/>
        <w:autoSpaceDN w:val="0"/>
        <w:adjustRightInd w:val="0"/>
        <w:ind w:right="-425"/>
        <w:jc w:val="both"/>
        <w:rPr>
          <w:rFonts w:cs="Arial"/>
          <w:sz w:val="24"/>
          <w:szCs w:val="24"/>
        </w:rPr>
      </w:pPr>
      <w:r w:rsidRPr="00831942">
        <w:rPr>
          <w:rFonts w:cs="Arial"/>
          <w:sz w:val="24"/>
          <w:szCs w:val="24"/>
        </w:rPr>
        <w:t>Con los compromisos adq</w:t>
      </w:r>
      <w:r w:rsidR="00B62120" w:rsidRPr="00831942">
        <w:rPr>
          <w:rFonts w:cs="Arial"/>
          <w:sz w:val="24"/>
          <w:szCs w:val="24"/>
        </w:rPr>
        <w:t xml:space="preserve">uiridos a través de la Ley 1665 de </w:t>
      </w:r>
      <w:r w:rsidRPr="00831942">
        <w:rPr>
          <w:rFonts w:cs="Arial"/>
          <w:sz w:val="24"/>
          <w:szCs w:val="24"/>
        </w:rPr>
        <w:t>2013, se e</w:t>
      </w:r>
      <w:r w:rsidR="00B62120" w:rsidRPr="00831942">
        <w:rPr>
          <w:rFonts w:cs="Arial"/>
          <w:sz w:val="24"/>
          <w:szCs w:val="24"/>
        </w:rPr>
        <w:t xml:space="preserve">xpidió la Ley 1715 de </w:t>
      </w:r>
      <w:r w:rsidRPr="00831942">
        <w:rPr>
          <w:rFonts w:cs="Arial"/>
          <w:sz w:val="24"/>
          <w:szCs w:val="24"/>
        </w:rPr>
        <w:t xml:space="preserve">2014, por la cual se regula la integración de las energías renovables no convencionales al Sistema Energético Nacional, concebida como la Ley de Energías Renovables. Esta ley instaura una nueva orientación de la política energética colombiana y tiene como objeto promover y fomentar tanto el desarrollo como la utilización de Fuentes No Convencionales de Energía (FNCE), incluyendo dentro de </w:t>
      </w:r>
      <w:r w:rsidR="001C48FB">
        <w:rPr>
          <w:rFonts w:cs="Arial"/>
          <w:sz w:val="24"/>
          <w:szCs w:val="24"/>
        </w:rPr>
        <w:t>estas</w:t>
      </w:r>
      <w:r w:rsidRPr="00831942">
        <w:rPr>
          <w:rFonts w:cs="Arial"/>
          <w:sz w:val="24"/>
          <w:szCs w:val="24"/>
        </w:rPr>
        <w:t>, principalmente, aquellas de carácter renovable</w:t>
      </w:r>
      <w:r w:rsidR="002533A2" w:rsidRPr="00831942">
        <w:rPr>
          <w:rFonts w:cs="Arial"/>
          <w:sz w:val="24"/>
          <w:szCs w:val="24"/>
        </w:rPr>
        <w:t>; así como</w:t>
      </w:r>
      <w:r w:rsidRPr="00831942">
        <w:rPr>
          <w:rFonts w:cs="Arial"/>
          <w:sz w:val="24"/>
          <w:szCs w:val="24"/>
        </w:rPr>
        <w:t xml:space="preserve"> la Gestión Eficiente de la Energía, todo ello, dentro de una estructura sostenible, de reducción de emisiones de gases de efecto invernadero y de seguridad del abastecimiento energético, promoviendo el uso eficiente de los recursos energéticos existentes e incentivando las fuentes no tradicionales de energía, especialmente las de carácter renovable.</w:t>
      </w:r>
    </w:p>
    <w:p w14:paraId="103ACCBA" w14:textId="4F7C1996" w:rsidR="004E09D3" w:rsidRPr="00831942" w:rsidRDefault="004E09D3" w:rsidP="00831942">
      <w:pPr>
        <w:autoSpaceDE w:val="0"/>
        <w:autoSpaceDN w:val="0"/>
        <w:adjustRightInd w:val="0"/>
        <w:ind w:right="-425"/>
        <w:jc w:val="both"/>
        <w:rPr>
          <w:rFonts w:cs="Arial"/>
          <w:sz w:val="24"/>
          <w:szCs w:val="24"/>
        </w:rPr>
      </w:pPr>
      <w:r w:rsidRPr="00831942">
        <w:rPr>
          <w:rFonts w:cs="Arial"/>
          <w:sz w:val="24"/>
          <w:szCs w:val="24"/>
        </w:rPr>
        <w:t>La finalidad de la Ley 1715 fue</w:t>
      </w:r>
      <w:r w:rsidR="001C48FB">
        <w:rPr>
          <w:rFonts w:cs="Arial"/>
          <w:sz w:val="24"/>
          <w:szCs w:val="24"/>
        </w:rPr>
        <w:t>ron</w:t>
      </w:r>
      <w:r w:rsidRPr="00831942">
        <w:rPr>
          <w:rFonts w:cs="Arial"/>
          <w:sz w:val="24"/>
          <w:szCs w:val="24"/>
        </w:rPr>
        <w:t xml:space="preserve"> entre otras: i) Incentivar la integración de las Energías Renovables (ER) en el mercado eléctrico, ii) Impulsar la utilización de las FNCE en las Zonas no Interconectadas –ZNI-, iii) Incentivar la inversión, la investigación y el desarrollo de tecnologías limpias para la producción de energía, la eficiencia energética y la respuesta de la demanda, iv)  Establecer criterios y principios en el marco jurídico actual que de seguridad y estabilidad al desarrollo sostenible de las FNCE, v) declarar como asunto de utilidad pública e interés social, público y de conveniencia nacional, la promoción, estímulo e incentivo al desarrollo de las actividades de producción y utilización de fuentes no convencionales de energía, princip</w:t>
      </w:r>
      <w:r w:rsidR="004352BD" w:rsidRPr="00831942">
        <w:rPr>
          <w:rFonts w:cs="Arial"/>
          <w:sz w:val="24"/>
          <w:szCs w:val="24"/>
        </w:rPr>
        <w:t>almente aquellas de carácter ren</w:t>
      </w:r>
      <w:r w:rsidRPr="00831942">
        <w:rPr>
          <w:rFonts w:cs="Arial"/>
          <w:sz w:val="24"/>
          <w:szCs w:val="24"/>
        </w:rPr>
        <w:t>ovable, vi) introducir incentivos fiscales para integrar al sistema energético nacional las FNCE, a través de varios mecanismos de carácter tributario (reducción de la renta y exclusión del IVA), arancelario (exención de derechos arancelarios de importación) y contable (depreciación acelerada), y vii) Crea el Fondo de Energías No Convencionales y Gestión Eficiente de la Energía – FENOGE</w:t>
      </w:r>
      <w:r w:rsidR="002533A2">
        <w:rPr>
          <w:rFonts w:cs="Arial"/>
          <w:sz w:val="24"/>
          <w:szCs w:val="24"/>
        </w:rPr>
        <w:t xml:space="preserve">, </w:t>
      </w:r>
      <w:r w:rsidRPr="00831942">
        <w:rPr>
          <w:rFonts w:cs="Arial"/>
          <w:sz w:val="24"/>
          <w:szCs w:val="24"/>
        </w:rPr>
        <w:t xml:space="preserve"> el cual financiará </w:t>
      </w:r>
      <w:r w:rsidRPr="00831942">
        <w:rPr>
          <w:rFonts w:cs="Arial"/>
          <w:sz w:val="24"/>
          <w:szCs w:val="24"/>
        </w:rPr>
        <w:lastRenderedPageBreak/>
        <w:t>principalmente planes, programas y proyectos de FNCE y Gestión Eficiente de Energía (GEE).</w:t>
      </w:r>
    </w:p>
    <w:p w14:paraId="74D28457" w14:textId="6622F2D4" w:rsidR="00F728FD" w:rsidRPr="005C3BE8" w:rsidRDefault="00F728FD" w:rsidP="00831942">
      <w:pPr>
        <w:autoSpaceDE w:val="0"/>
        <w:autoSpaceDN w:val="0"/>
        <w:adjustRightInd w:val="0"/>
        <w:ind w:right="-425"/>
        <w:jc w:val="both"/>
        <w:rPr>
          <w:rFonts w:cs="Arial"/>
          <w:sz w:val="24"/>
          <w:szCs w:val="24"/>
        </w:rPr>
      </w:pPr>
      <w:bookmarkStart w:id="0" w:name="_Ref475090389"/>
      <w:r w:rsidRPr="00C016D1">
        <w:rPr>
          <w:rFonts w:cs="Arial"/>
          <w:sz w:val="24"/>
          <w:szCs w:val="24"/>
        </w:rPr>
        <w:t xml:space="preserve">La </w:t>
      </w:r>
      <w:hyperlink r:id="rId7" w:history="1">
        <w:r w:rsidRPr="00C016D1">
          <w:rPr>
            <w:rFonts w:cs="Arial"/>
            <w:sz w:val="24"/>
            <w:szCs w:val="24"/>
          </w:rPr>
          <w:t>Ley 1819 del 2016</w:t>
        </w:r>
      </w:hyperlink>
      <w:r w:rsidRPr="005C3BE8">
        <w:rPr>
          <w:rFonts w:cs="Arial"/>
          <w:sz w:val="24"/>
          <w:szCs w:val="24"/>
        </w:rPr>
        <w:t xml:space="preserve">, por medio de la cual se adopta una reforma tributaria estructural en nuestro país, en su artículo 368 </w:t>
      </w:r>
      <w:r w:rsidRPr="00831942">
        <w:rPr>
          <w:rFonts w:cs="Arial"/>
          <w:sz w:val="24"/>
          <w:szCs w:val="24"/>
        </w:rPr>
        <w:t>dispone que el FENOGE se</w:t>
      </w:r>
      <w:r w:rsidR="00B5073E">
        <w:rPr>
          <w:rFonts w:cs="Arial"/>
          <w:sz w:val="24"/>
          <w:szCs w:val="24"/>
        </w:rPr>
        <w:t>rá</w:t>
      </w:r>
      <w:r w:rsidRPr="00831942">
        <w:rPr>
          <w:rFonts w:cs="Arial"/>
          <w:sz w:val="24"/>
          <w:szCs w:val="24"/>
        </w:rPr>
        <w:t xml:space="preserve"> administrado </w:t>
      </w:r>
      <w:r w:rsidRPr="009147E4">
        <w:rPr>
          <w:rFonts w:cs="Arial"/>
          <w:sz w:val="24"/>
          <w:szCs w:val="24"/>
        </w:rPr>
        <w:t xml:space="preserve">a través del Patrimonio Autónomo </w:t>
      </w:r>
      <w:r w:rsidRPr="00831942">
        <w:rPr>
          <w:rFonts w:cs="Arial"/>
          <w:sz w:val="24"/>
          <w:szCs w:val="24"/>
        </w:rPr>
        <w:t xml:space="preserve">que se constituya en virtud de un contrato de fiducia mercantil, el cual deberá ser </w:t>
      </w:r>
      <w:r w:rsidR="00B5073E">
        <w:rPr>
          <w:rFonts w:cs="Arial"/>
          <w:sz w:val="24"/>
          <w:szCs w:val="24"/>
        </w:rPr>
        <w:t xml:space="preserve">suscrito </w:t>
      </w:r>
      <w:r w:rsidRPr="00831942">
        <w:rPr>
          <w:rFonts w:cs="Arial"/>
          <w:sz w:val="24"/>
          <w:szCs w:val="24"/>
        </w:rPr>
        <w:t>por el Ministerio de Minas y Energía con una entidad financiera seleccionada por esta entidad</w:t>
      </w:r>
      <w:r w:rsidR="00426F2D" w:rsidRPr="00831942">
        <w:rPr>
          <w:rFonts w:cs="Arial"/>
          <w:sz w:val="24"/>
          <w:szCs w:val="24"/>
        </w:rPr>
        <w:t xml:space="preserve">, </w:t>
      </w:r>
      <w:r w:rsidRPr="00831942">
        <w:rPr>
          <w:rFonts w:cs="Arial"/>
          <w:sz w:val="24"/>
          <w:szCs w:val="24"/>
        </w:rPr>
        <w:t xml:space="preserve">debidamente </w:t>
      </w:r>
      <w:r w:rsidR="00426F2D" w:rsidRPr="00831942">
        <w:rPr>
          <w:rFonts w:cs="Arial"/>
          <w:sz w:val="24"/>
          <w:szCs w:val="24"/>
        </w:rPr>
        <w:t xml:space="preserve">autorizada para </w:t>
      </w:r>
      <w:r w:rsidRPr="00831942">
        <w:rPr>
          <w:rFonts w:cs="Arial"/>
          <w:sz w:val="24"/>
          <w:szCs w:val="24"/>
        </w:rPr>
        <w:t>el efecto y vigilada por la Superintendencia Financiera de Colombia,</w:t>
      </w:r>
      <w:r w:rsidR="00F41553" w:rsidRPr="00831942">
        <w:rPr>
          <w:rFonts w:cs="Arial"/>
          <w:sz w:val="24"/>
          <w:szCs w:val="24"/>
        </w:rPr>
        <w:t xml:space="preserve"> </w:t>
      </w:r>
      <w:r w:rsidRPr="00831942">
        <w:rPr>
          <w:rFonts w:cs="Arial"/>
          <w:sz w:val="24"/>
          <w:szCs w:val="24"/>
        </w:rPr>
        <w:t>así mismo este artículo establece que la contribución a la que se refiere el inciso séptimo del artículo 190 de la Ley 1753 de 2015 con destino al FENOGE podrá seguir siendo recaudada una vez expirada la vigencia de la mencionada Ley.</w:t>
      </w:r>
      <w:bookmarkEnd w:id="0"/>
      <w:r w:rsidRPr="005C3BE8">
        <w:rPr>
          <w:rFonts w:cs="Arial"/>
          <w:sz w:val="24"/>
          <w:szCs w:val="24"/>
        </w:rPr>
        <w:t xml:space="preserve"> </w:t>
      </w:r>
    </w:p>
    <w:p w14:paraId="6175B5E3" w14:textId="2FB79AF1" w:rsidR="00002CE0" w:rsidRPr="00831942" w:rsidRDefault="009147E4" w:rsidP="00831942">
      <w:pPr>
        <w:autoSpaceDE w:val="0"/>
        <w:autoSpaceDN w:val="0"/>
        <w:adjustRightInd w:val="0"/>
        <w:ind w:right="-425"/>
        <w:jc w:val="both"/>
        <w:rPr>
          <w:rFonts w:cs="Arial"/>
        </w:rPr>
      </w:pPr>
      <w:r w:rsidRPr="00542931">
        <w:rPr>
          <w:rFonts w:cs="Arial"/>
          <w:sz w:val="24"/>
          <w:szCs w:val="24"/>
        </w:rPr>
        <w:t xml:space="preserve">Atendiendo las normas precitadas </w:t>
      </w:r>
      <w:r w:rsidR="00002CE0" w:rsidRPr="00831942">
        <w:rPr>
          <w:rFonts w:cs="Arial"/>
          <w:sz w:val="24"/>
          <w:szCs w:val="24"/>
        </w:rPr>
        <w:t>y en especial la Ley 1715 de 2014 el Ministerio de Minas y Energía debe</w:t>
      </w:r>
      <w:r w:rsidR="00F41553" w:rsidRPr="00831942">
        <w:rPr>
          <w:rFonts w:cs="Arial"/>
          <w:sz w:val="24"/>
          <w:szCs w:val="24"/>
        </w:rPr>
        <w:t xml:space="preserve"> establecer los lineamientos de política energética en materia de generación con FNCE en las Zonas No Interconectadas, la entrega de excedentes de autogeneración a pequeña y gran escala en el Sistema Interconectado Nacional, la conexión y operación de la generación distribuida, el funcionamiento del Fondo de Energías no Convencionales y Gestión Eficiente de la Energía – FENOGE -  y demás medidas para el uso eficiente de la energía.</w:t>
      </w:r>
    </w:p>
    <w:p w14:paraId="54DCAB44" w14:textId="5354A3B7" w:rsidR="005F38B0" w:rsidRPr="00831942" w:rsidRDefault="005F38B0" w:rsidP="00831942">
      <w:pPr>
        <w:autoSpaceDE w:val="0"/>
        <w:autoSpaceDN w:val="0"/>
        <w:adjustRightInd w:val="0"/>
        <w:ind w:right="-425"/>
        <w:jc w:val="both"/>
        <w:rPr>
          <w:rFonts w:cs="Arial"/>
        </w:rPr>
      </w:pPr>
      <w:r w:rsidRPr="00831942">
        <w:rPr>
          <w:rFonts w:cs="Arial"/>
          <w:sz w:val="24"/>
          <w:szCs w:val="24"/>
        </w:rPr>
        <w:t>Igualmente y dado que el Estado colombiano firmó el Acuerdo de París sobre cambio climático, de conformidad con el cual las partes se comprometen a una contribución en la reducción de los gases efecto invernadero (GEI), y dado que la ratificación del Acuerdo, se encuentra en trámite en el Congreso de la República, es necesario generar lineamientos y parámetros que contribuyan al cumplimiento de los compromisos adquiridos.</w:t>
      </w:r>
    </w:p>
    <w:p w14:paraId="7840AB7A" w14:textId="49E9467C" w:rsidR="00545D89" w:rsidRPr="00831942" w:rsidRDefault="005F38B0" w:rsidP="00831942">
      <w:pPr>
        <w:autoSpaceDE w:val="0"/>
        <w:autoSpaceDN w:val="0"/>
        <w:adjustRightInd w:val="0"/>
        <w:ind w:right="-425"/>
        <w:jc w:val="both"/>
        <w:rPr>
          <w:rFonts w:cs="Arial"/>
        </w:rPr>
      </w:pPr>
      <w:r w:rsidRPr="00831942">
        <w:rPr>
          <w:rFonts w:cs="Arial"/>
          <w:sz w:val="24"/>
          <w:szCs w:val="24"/>
        </w:rPr>
        <w:t>Te</w:t>
      </w:r>
      <w:r w:rsidR="00002CE0" w:rsidRPr="00831942">
        <w:rPr>
          <w:rFonts w:cs="Arial"/>
          <w:sz w:val="24"/>
          <w:szCs w:val="24"/>
        </w:rPr>
        <w:t>niendo en cuenta lo anterior, es conveniente y oportuna la expedición de este Decreto.</w:t>
      </w:r>
    </w:p>
    <w:p w14:paraId="3B7CAC05" w14:textId="77777777" w:rsidR="000604E5" w:rsidRDefault="000604E5" w:rsidP="004C6673">
      <w:pPr>
        <w:pStyle w:val="Textoindependiente"/>
        <w:numPr>
          <w:ilvl w:val="0"/>
          <w:numId w:val="1"/>
        </w:numPr>
        <w:jc w:val="left"/>
        <w:rPr>
          <w:rFonts w:cs="Arial"/>
          <w:b/>
          <w:szCs w:val="24"/>
          <w:lang w:val="es-CO"/>
        </w:rPr>
      </w:pPr>
      <w:r w:rsidRPr="00FA3F0A">
        <w:rPr>
          <w:rFonts w:cs="Arial"/>
          <w:b/>
          <w:szCs w:val="24"/>
          <w:lang w:val="es-CO"/>
        </w:rPr>
        <w:t>AMBITO DE APLICACIÓN</w:t>
      </w:r>
    </w:p>
    <w:p w14:paraId="68D738BF" w14:textId="77777777" w:rsidR="00C016D1" w:rsidRPr="00FA3F0A" w:rsidRDefault="00C016D1" w:rsidP="00FA3F0A">
      <w:pPr>
        <w:pStyle w:val="Textoindependiente"/>
        <w:ind w:left="720"/>
        <w:jc w:val="left"/>
        <w:rPr>
          <w:rFonts w:cs="Arial"/>
          <w:b/>
          <w:szCs w:val="24"/>
          <w:lang w:val="es-CO"/>
        </w:rPr>
      </w:pPr>
    </w:p>
    <w:p w14:paraId="4C187DBD" w14:textId="778C4BD3" w:rsidR="004605B7" w:rsidRPr="00831942" w:rsidRDefault="001A6FCC" w:rsidP="00831942">
      <w:pPr>
        <w:autoSpaceDE w:val="0"/>
        <w:autoSpaceDN w:val="0"/>
        <w:adjustRightInd w:val="0"/>
        <w:ind w:right="-425"/>
        <w:jc w:val="both"/>
        <w:rPr>
          <w:rFonts w:cs="Arial"/>
          <w:sz w:val="24"/>
          <w:szCs w:val="24"/>
        </w:rPr>
      </w:pPr>
      <w:r w:rsidRPr="00831942">
        <w:rPr>
          <w:rFonts w:cs="Arial"/>
          <w:sz w:val="24"/>
          <w:szCs w:val="24"/>
        </w:rPr>
        <w:t xml:space="preserve">Este </w:t>
      </w:r>
      <w:r w:rsidR="00C016D1" w:rsidRPr="00831942">
        <w:rPr>
          <w:rFonts w:cs="Arial"/>
          <w:sz w:val="24"/>
          <w:szCs w:val="24"/>
        </w:rPr>
        <w:t>D</w:t>
      </w:r>
      <w:r w:rsidR="00D56A28" w:rsidRPr="00831942">
        <w:rPr>
          <w:rFonts w:cs="Arial"/>
          <w:sz w:val="24"/>
          <w:szCs w:val="24"/>
        </w:rPr>
        <w:t xml:space="preserve">ecreto aplicará a los sujetos que conformarán la </w:t>
      </w:r>
      <w:r w:rsidR="00C016D1" w:rsidRPr="00831942">
        <w:rPr>
          <w:rFonts w:cs="Arial"/>
          <w:sz w:val="24"/>
          <w:szCs w:val="24"/>
        </w:rPr>
        <w:t xml:space="preserve">oferta y la demanda de </w:t>
      </w:r>
      <w:r w:rsidR="00F90642" w:rsidRPr="00831942">
        <w:rPr>
          <w:rFonts w:cs="Arial"/>
          <w:sz w:val="24"/>
          <w:szCs w:val="24"/>
        </w:rPr>
        <w:t xml:space="preserve">recursos que permitirán la ejecución de los diferentes </w:t>
      </w:r>
      <w:r w:rsidR="0045701F">
        <w:rPr>
          <w:rFonts w:cs="Arial"/>
          <w:sz w:val="24"/>
          <w:szCs w:val="24"/>
        </w:rPr>
        <w:t>p</w:t>
      </w:r>
      <w:r w:rsidR="00F90642" w:rsidRPr="00831942">
        <w:rPr>
          <w:rFonts w:cs="Arial"/>
          <w:sz w:val="24"/>
          <w:szCs w:val="24"/>
        </w:rPr>
        <w:t xml:space="preserve">lanes, </w:t>
      </w:r>
      <w:r w:rsidR="0045701F">
        <w:rPr>
          <w:rFonts w:cs="Arial"/>
          <w:sz w:val="24"/>
          <w:szCs w:val="24"/>
        </w:rPr>
        <w:t>p</w:t>
      </w:r>
      <w:r w:rsidR="00F90642" w:rsidRPr="00831942">
        <w:rPr>
          <w:rFonts w:cs="Arial"/>
          <w:sz w:val="24"/>
          <w:szCs w:val="24"/>
        </w:rPr>
        <w:t>rogramas</w:t>
      </w:r>
      <w:r w:rsidR="000E39EA" w:rsidRPr="00831942">
        <w:rPr>
          <w:rFonts w:cs="Arial"/>
          <w:sz w:val="24"/>
          <w:szCs w:val="24"/>
        </w:rPr>
        <w:t xml:space="preserve"> o </w:t>
      </w:r>
      <w:r w:rsidR="0045701F">
        <w:rPr>
          <w:rFonts w:cs="Arial"/>
          <w:sz w:val="24"/>
          <w:szCs w:val="24"/>
        </w:rPr>
        <w:t>p</w:t>
      </w:r>
      <w:r w:rsidR="000E39EA" w:rsidRPr="00831942">
        <w:rPr>
          <w:rFonts w:cs="Arial"/>
          <w:sz w:val="24"/>
          <w:szCs w:val="24"/>
        </w:rPr>
        <w:t>royectos</w:t>
      </w:r>
      <w:r w:rsidR="00F90642" w:rsidRPr="00831942">
        <w:rPr>
          <w:rFonts w:cs="Arial"/>
          <w:sz w:val="24"/>
          <w:szCs w:val="24"/>
        </w:rPr>
        <w:t xml:space="preserve"> </w:t>
      </w:r>
      <w:r w:rsidR="004605B7" w:rsidRPr="00831942">
        <w:rPr>
          <w:rFonts w:cs="Arial"/>
          <w:sz w:val="24"/>
          <w:szCs w:val="24"/>
        </w:rPr>
        <w:t xml:space="preserve">para promover el desarrollo y la utilización de las </w:t>
      </w:r>
      <w:r w:rsidR="002533A2" w:rsidRPr="00831942">
        <w:rPr>
          <w:rFonts w:cs="Arial"/>
          <w:sz w:val="24"/>
          <w:szCs w:val="24"/>
        </w:rPr>
        <w:t>F</w:t>
      </w:r>
      <w:r w:rsidR="004605B7" w:rsidRPr="00831942">
        <w:rPr>
          <w:rFonts w:cs="Arial"/>
          <w:sz w:val="24"/>
          <w:szCs w:val="24"/>
        </w:rPr>
        <w:t xml:space="preserve">uentes </w:t>
      </w:r>
      <w:r w:rsidR="002533A2" w:rsidRPr="00831942">
        <w:rPr>
          <w:rFonts w:cs="Arial"/>
          <w:sz w:val="24"/>
          <w:szCs w:val="24"/>
        </w:rPr>
        <w:t>N</w:t>
      </w:r>
      <w:r w:rsidR="004605B7" w:rsidRPr="00831942">
        <w:rPr>
          <w:rFonts w:cs="Arial"/>
          <w:sz w:val="24"/>
          <w:szCs w:val="24"/>
        </w:rPr>
        <w:t xml:space="preserve">o </w:t>
      </w:r>
      <w:r w:rsidR="002533A2" w:rsidRPr="00831942">
        <w:rPr>
          <w:rFonts w:cs="Arial"/>
          <w:sz w:val="24"/>
          <w:szCs w:val="24"/>
        </w:rPr>
        <w:t>C</w:t>
      </w:r>
      <w:r w:rsidR="004605B7" w:rsidRPr="00831942">
        <w:rPr>
          <w:rFonts w:cs="Arial"/>
          <w:sz w:val="24"/>
          <w:szCs w:val="24"/>
        </w:rPr>
        <w:t xml:space="preserve">onvencionales de </w:t>
      </w:r>
      <w:r w:rsidR="002533A2" w:rsidRPr="00831942">
        <w:rPr>
          <w:rFonts w:cs="Arial"/>
          <w:sz w:val="24"/>
          <w:szCs w:val="24"/>
        </w:rPr>
        <w:t>E</w:t>
      </w:r>
      <w:r w:rsidR="004605B7" w:rsidRPr="00831942">
        <w:rPr>
          <w:rFonts w:cs="Arial"/>
          <w:sz w:val="24"/>
          <w:szCs w:val="24"/>
        </w:rPr>
        <w:t xml:space="preserve">nergía, principalmente aquellas de carácter renovable, la reducción de emisiones de gases de efecto invernadero y la seguridad del abastecimiento energético en el </w:t>
      </w:r>
      <w:r w:rsidR="0045701F">
        <w:rPr>
          <w:rFonts w:cs="Arial"/>
          <w:sz w:val="24"/>
          <w:szCs w:val="24"/>
        </w:rPr>
        <w:t>p</w:t>
      </w:r>
      <w:r w:rsidR="004605B7" w:rsidRPr="00831942">
        <w:rPr>
          <w:rFonts w:cs="Arial"/>
          <w:sz w:val="24"/>
          <w:szCs w:val="24"/>
        </w:rPr>
        <w:t>aís, así como la gestión eficiente de la energía.</w:t>
      </w:r>
    </w:p>
    <w:p w14:paraId="40DD6FFE" w14:textId="77777777" w:rsidR="000604E5" w:rsidRPr="00FA3F0A" w:rsidRDefault="000604E5" w:rsidP="00C016D1">
      <w:pPr>
        <w:pStyle w:val="Textoindependiente"/>
        <w:numPr>
          <w:ilvl w:val="0"/>
          <w:numId w:val="1"/>
        </w:numPr>
        <w:jc w:val="left"/>
        <w:rPr>
          <w:rFonts w:cs="Arial"/>
          <w:b/>
          <w:szCs w:val="24"/>
          <w:lang w:val="es-CO"/>
        </w:rPr>
      </w:pPr>
      <w:r w:rsidRPr="00FA3F0A">
        <w:rPr>
          <w:rFonts w:cs="Arial"/>
          <w:b/>
          <w:szCs w:val="24"/>
          <w:lang w:val="es-CO"/>
        </w:rPr>
        <w:lastRenderedPageBreak/>
        <w:t>VIABILIDAD JURÍDICA</w:t>
      </w:r>
    </w:p>
    <w:p w14:paraId="0A1E3B9E" w14:textId="77777777" w:rsidR="000604E5" w:rsidRPr="00FA3F0A" w:rsidRDefault="000604E5" w:rsidP="00C016D1">
      <w:pPr>
        <w:pStyle w:val="Textoindependiente"/>
        <w:jc w:val="left"/>
        <w:rPr>
          <w:rFonts w:cs="Arial"/>
          <w:b/>
          <w:szCs w:val="24"/>
          <w:lang w:val="es-CO"/>
        </w:rPr>
      </w:pPr>
    </w:p>
    <w:p w14:paraId="44E1D5CB" w14:textId="77777777" w:rsidR="000604E5" w:rsidRPr="00FA3F0A" w:rsidRDefault="000604E5" w:rsidP="00542931">
      <w:pPr>
        <w:pStyle w:val="Textoindependiente"/>
        <w:ind w:right="-425"/>
        <w:jc w:val="left"/>
        <w:rPr>
          <w:rFonts w:cs="Arial"/>
          <w:b/>
          <w:szCs w:val="24"/>
        </w:rPr>
      </w:pPr>
      <w:r w:rsidRPr="00FA3F0A">
        <w:rPr>
          <w:rFonts w:cs="Arial"/>
          <w:b/>
          <w:szCs w:val="24"/>
        </w:rPr>
        <w:t>3.1. Análisis expreso y detallado de las normas que otorgan la competencia para la expedición del correspondiente acto</w:t>
      </w:r>
    </w:p>
    <w:p w14:paraId="26D3ABD5" w14:textId="77777777" w:rsidR="000604E5" w:rsidRPr="00FA3F0A" w:rsidRDefault="000604E5" w:rsidP="00542931">
      <w:pPr>
        <w:spacing w:after="0" w:line="240" w:lineRule="auto"/>
        <w:ind w:right="-425"/>
        <w:jc w:val="both"/>
        <w:rPr>
          <w:rFonts w:cs="Arial"/>
          <w:sz w:val="24"/>
          <w:szCs w:val="24"/>
        </w:rPr>
      </w:pPr>
    </w:p>
    <w:p w14:paraId="77AD3834" w14:textId="77777777" w:rsidR="00044E2C" w:rsidRPr="00FA3F0A" w:rsidRDefault="00044E2C" w:rsidP="00831942">
      <w:pPr>
        <w:autoSpaceDE w:val="0"/>
        <w:autoSpaceDN w:val="0"/>
        <w:adjustRightInd w:val="0"/>
        <w:ind w:right="-425"/>
        <w:jc w:val="both"/>
        <w:rPr>
          <w:rFonts w:cs="Arial"/>
          <w:sz w:val="24"/>
          <w:szCs w:val="24"/>
        </w:rPr>
      </w:pPr>
      <w:r w:rsidRPr="00FA3F0A">
        <w:rPr>
          <w:rFonts w:cs="Arial"/>
          <w:sz w:val="24"/>
          <w:szCs w:val="24"/>
        </w:rPr>
        <w:t>El proyecto de decreto se expide con base en las facultades constitucionales y legales asignadas al Presidente de la República, en especial las que le confiere el numeral 11 del artículo 189 de la Constitución Política, así como los artículos 6 y 10 de la Ley 1715 de 2014.</w:t>
      </w:r>
    </w:p>
    <w:p w14:paraId="59936110" w14:textId="77777777" w:rsidR="000604E5" w:rsidRPr="00FA3F0A" w:rsidRDefault="000604E5" w:rsidP="00542931">
      <w:pPr>
        <w:autoSpaceDE w:val="0"/>
        <w:autoSpaceDN w:val="0"/>
        <w:adjustRightInd w:val="0"/>
        <w:spacing w:after="0" w:line="240" w:lineRule="auto"/>
        <w:ind w:right="-425"/>
        <w:rPr>
          <w:rFonts w:cs="Arial"/>
          <w:b/>
          <w:sz w:val="24"/>
          <w:szCs w:val="24"/>
        </w:rPr>
      </w:pPr>
      <w:r w:rsidRPr="00FA3F0A">
        <w:rPr>
          <w:rFonts w:cs="Arial"/>
          <w:b/>
          <w:sz w:val="24"/>
          <w:szCs w:val="24"/>
        </w:rPr>
        <w:t>3.2. La vigencia de la ley o norma reglamentada o desarrollada</w:t>
      </w:r>
    </w:p>
    <w:p w14:paraId="05FF8BA4" w14:textId="77777777" w:rsidR="000604E5" w:rsidRPr="00FA3F0A" w:rsidRDefault="000604E5" w:rsidP="00542931">
      <w:pPr>
        <w:autoSpaceDE w:val="0"/>
        <w:autoSpaceDN w:val="0"/>
        <w:adjustRightInd w:val="0"/>
        <w:spacing w:after="0" w:line="240" w:lineRule="auto"/>
        <w:ind w:right="-425"/>
        <w:jc w:val="both"/>
        <w:rPr>
          <w:rFonts w:cs="Arial"/>
          <w:sz w:val="24"/>
          <w:szCs w:val="24"/>
        </w:rPr>
      </w:pPr>
    </w:p>
    <w:p w14:paraId="05398CEF" w14:textId="5C45C32E" w:rsidR="0045701F" w:rsidRPr="00FA3F0A" w:rsidRDefault="00DC002B" w:rsidP="00542931">
      <w:pPr>
        <w:autoSpaceDE w:val="0"/>
        <w:autoSpaceDN w:val="0"/>
        <w:adjustRightInd w:val="0"/>
        <w:ind w:right="-425"/>
        <w:jc w:val="both"/>
        <w:rPr>
          <w:rFonts w:cs="Arial"/>
          <w:sz w:val="24"/>
          <w:szCs w:val="24"/>
        </w:rPr>
      </w:pPr>
      <w:r w:rsidRPr="00FA3F0A">
        <w:rPr>
          <w:rFonts w:cs="Arial"/>
          <w:sz w:val="24"/>
          <w:szCs w:val="24"/>
        </w:rPr>
        <w:t>La</w:t>
      </w:r>
      <w:r>
        <w:rPr>
          <w:rFonts w:cs="Arial"/>
          <w:sz w:val="24"/>
          <w:szCs w:val="24"/>
        </w:rPr>
        <w:t>s</w:t>
      </w:r>
      <w:r w:rsidRPr="00FA3F0A">
        <w:rPr>
          <w:rFonts w:cs="Arial"/>
          <w:sz w:val="24"/>
          <w:szCs w:val="24"/>
        </w:rPr>
        <w:t xml:space="preserve"> Ley</w:t>
      </w:r>
      <w:r>
        <w:rPr>
          <w:rFonts w:cs="Arial"/>
          <w:sz w:val="24"/>
          <w:szCs w:val="24"/>
        </w:rPr>
        <w:t>es</w:t>
      </w:r>
      <w:r w:rsidRPr="00FA3F0A">
        <w:rPr>
          <w:rFonts w:cs="Arial"/>
          <w:sz w:val="24"/>
          <w:szCs w:val="24"/>
        </w:rPr>
        <w:t xml:space="preserve"> 1715 de 2014 </w:t>
      </w:r>
      <w:r>
        <w:rPr>
          <w:rFonts w:cs="Arial"/>
          <w:sz w:val="24"/>
          <w:szCs w:val="24"/>
        </w:rPr>
        <w:t>y el artículo 368 de la Ley 1819 de 2016</w:t>
      </w:r>
      <w:r w:rsidR="0045701F">
        <w:rPr>
          <w:rFonts w:cs="Arial"/>
          <w:sz w:val="24"/>
          <w:szCs w:val="24"/>
        </w:rPr>
        <w:t xml:space="preserve"> fueron publicadas en los Diarios Oficiales </w:t>
      </w:r>
      <w:r w:rsidR="00A06CB5">
        <w:rPr>
          <w:rFonts w:cs="Arial"/>
          <w:sz w:val="24"/>
          <w:szCs w:val="24"/>
        </w:rPr>
        <w:t>49.150 del 13 de mayo de 2014 y 50.101 del 29 de diciembre de 2016, respectivamente,</w:t>
      </w:r>
      <w:r>
        <w:rPr>
          <w:rFonts w:cs="Arial"/>
          <w:sz w:val="24"/>
          <w:szCs w:val="24"/>
        </w:rPr>
        <w:t xml:space="preserve"> </w:t>
      </w:r>
      <w:r w:rsidRPr="00FA3F0A">
        <w:rPr>
          <w:rFonts w:cs="Arial"/>
          <w:sz w:val="24"/>
          <w:szCs w:val="24"/>
        </w:rPr>
        <w:t>se encuentra</w:t>
      </w:r>
      <w:r>
        <w:rPr>
          <w:rFonts w:cs="Arial"/>
          <w:sz w:val="24"/>
          <w:szCs w:val="24"/>
        </w:rPr>
        <w:t>n</w:t>
      </w:r>
      <w:r w:rsidRPr="00FA3F0A">
        <w:rPr>
          <w:rFonts w:cs="Arial"/>
          <w:sz w:val="24"/>
          <w:szCs w:val="24"/>
        </w:rPr>
        <w:t xml:space="preserve"> vigente</w:t>
      </w:r>
      <w:r>
        <w:rPr>
          <w:rFonts w:cs="Arial"/>
          <w:sz w:val="24"/>
          <w:szCs w:val="24"/>
        </w:rPr>
        <w:t>s</w:t>
      </w:r>
      <w:r w:rsidRPr="00DC002B">
        <w:rPr>
          <w:rFonts w:cs="Arial"/>
          <w:sz w:val="24"/>
          <w:szCs w:val="24"/>
        </w:rPr>
        <w:t xml:space="preserve"> por lo que </w:t>
      </w:r>
      <w:r w:rsidRPr="00FA3F0A">
        <w:rPr>
          <w:rFonts w:cs="Arial"/>
          <w:sz w:val="24"/>
          <w:szCs w:val="24"/>
        </w:rPr>
        <w:t>s</w:t>
      </w:r>
      <w:r>
        <w:rPr>
          <w:rFonts w:cs="Arial"/>
          <w:sz w:val="24"/>
          <w:szCs w:val="24"/>
        </w:rPr>
        <w:t>on</w:t>
      </w:r>
      <w:r w:rsidRPr="00FA3F0A">
        <w:rPr>
          <w:rFonts w:cs="Arial"/>
          <w:sz w:val="24"/>
          <w:szCs w:val="24"/>
        </w:rPr>
        <w:t xml:space="preserve"> objeto de reglamentación en sus diferentes aspectos, uno de los cuales moti</w:t>
      </w:r>
      <w:r w:rsidRPr="00DC002B">
        <w:rPr>
          <w:rFonts w:cs="Arial"/>
          <w:sz w:val="24"/>
          <w:szCs w:val="24"/>
        </w:rPr>
        <w:t xml:space="preserve">va la expedición del presente decreto </w:t>
      </w:r>
      <w:r w:rsidRPr="00FA3F0A">
        <w:rPr>
          <w:rFonts w:cs="Arial"/>
          <w:sz w:val="24"/>
          <w:szCs w:val="24"/>
        </w:rPr>
        <w:t xml:space="preserve">al fijar </w:t>
      </w:r>
      <w:r w:rsidR="00B62120">
        <w:rPr>
          <w:rFonts w:cs="Arial"/>
          <w:sz w:val="24"/>
          <w:szCs w:val="24"/>
        </w:rPr>
        <w:t xml:space="preserve">lineamientos, administración y destinación de los recursos </w:t>
      </w:r>
      <w:r w:rsidRPr="00FA3F0A">
        <w:rPr>
          <w:rFonts w:cs="Arial"/>
          <w:sz w:val="24"/>
          <w:szCs w:val="24"/>
        </w:rPr>
        <w:t>del FENOGE.</w:t>
      </w:r>
      <w:r w:rsidR="0045701F" w:rsidRPr="00FA3F0A">
        <w:rPr>
          <w:rFonts w:cs="Arial"/>
          <w:sz w:val="24"/>
          <w:szCs w:val="24"/>
        </w:rPr>
        <w:t xml:space="preserve"> </w:t>
      </w:r>
    </w:p>
    <w:p w14:paraId="134807C7" w14:textId="77777777" w:rsidR="000604E5" w:rsidRPr="00FA3F0A" w:rsidRDefault="000604E5" w:rsidP="00542931">
      <w:pPr>
        <w:autoSpaceDE w:val="0"/>
        <w:autoSpaceDN w:val="0"/>
        <w:adjustRightInd w:val="0"/>
        <w:spacing w:after="0" w:line="240" w:lineRule="auto"/>
        <w:ind w:right="-425"/>
        <w:jc w:val="both"/>
        <w:rPr>
          <w:rFonts w:cs="Arial"/>
          <w:b/>
          <w:sz w:val="24"/>
          <w:szCs w:val="24"/>
        </w:rPr>
      </w:pPr>
      <w:r w:rsidRPr="00FA3F0A">
        <w:rPr>
          <w:rFonts w:cs="Arial"/>
          <w:b/>
          <w:sz w:val="24"/>
          <w:szCs w:val="24"/>
        </w:rPr>
        <w:t>3.3. Disposiciones derogadas, subrogadas, modificadas, adicionadas o sustituidas, si alguno de estos efectos se produce con la expedición del respectivo acto</w:t>
      </w:r>
    </w:p>
    <w:p w14:paraId="4D5F1916" w14:textId="77777777" w:rsidR="000604E5" w:rsidRPr="00FA3F0A" w:rsidRDefault="000604E5" w:rsidP="00542931">
      <w:pPr>
        <w:spacing w:after="0" w:line="240" w:lineRule="auto"/>
        <w:ind w:right="-425"/>
        <w:jc w:val="both"/>
        <w:rPr>
          <w:rFonts w:cs="Arial"/>
          <w:sz w:val="24"/>
          <w:szCs w:val="24"/>
        </w:rPr>
      </w:pPr>
    </w:p>
    <w:p w14:paraId="692010F2" w14:textId="0E281C13" w:rsidR="00CE1AD6" w:rsidRPr="00FA3F0A" w:rsidRDefault="00CE1AD6" w:rsidP="00831942">
      <w:pPr>
        <w:autoSpaceDE w:val="0"/>
        <w:autoSpaceDN w:val="0"/>
        <w:adjustRightInd w:val="0"/>
        <w:ind w:right="-425"/>
        <w:jc w:val="both"/>
        <w:rPr>
          <w:rFonts w:cs="Arial"/>
          <w:sz w:val="24"/>
          <w:szCs w:val="24"/>
        </w:rPr>
      </w:pPr>
      <w:r w:rsidRPr="00FA3F0A">
        <w:rPr>
          <w:rFonts w:cs="Arial"/>
          <w:sz w:val="24"/>
          <w:szCs w:val="24"/>
        </w:rPr>
        <w:t>Las decisiones aquí adoptadas ingresan al conjunto de normas relacionadas en el Decreto Único Reglamentario del Sector</w:t>
      </w:r>
      <w:r w:rsidR="007E5F89">
        <w:rPr>
          <w:rFonts w:cs="Arial"/>
          <w:sz w:val="24"/>
          <w:szCs w:val="24"/>
        </w:rPr>
        <w:t xml:space="preserve"> Administrativo de</w:t>
      </w:r>
      <w:r w:rsidR="007E5F89" w:rsidRPr="007E5F89">
        <w:rPr>
          <w:rFonts w:cs="Arial"/>
          <w:sz w:val="24"/>
          <w:szCs w:val="24"/>
        </w:rPr>
        <w:t xml:space="preserve"> Minas y Energía</w:t>
      </w:r>
      <w:r w:rsidR="00A06CB5">
        <w:rPr>
          <w:rFonts w:cs="Arial"/>
          <w:sz w:val="24"/>
          <w:szCs w:val="24"/>
        </w:rPr>
        <w:t xml:space="preserve">, </w:t>
      </w:r>
      <w:r w:rsidRPr="00FA3F0A">
        <w:rPr>
          <w:rFonts w:cs="Arial"/>
          <w:sz w:val="24"/>
          <w:szCs w:val="24"/>
        </w:rPr>
        <w:t>1073 de 2015, como Sección nueva,</w:t>
      </w:r>
      <w:r w:rsidR="00624203">
        <w:rPr>
          <w:rFonts w:cs="Arial"/>
          <w:sz w:val="24"/>
          <w:szCs w:val="24"/>
        </w:rPr>
        <w:t xml:space="preserve"> adicionándose </w:t>
      </w:r>
      <w:r w:rsidR="00542931">
        <w:rPr>
          <w:rFonts w:cs="Arial"/>
          <w:sz w:val="24"/>
          <w:szCs w:val="24"/>
        </w:rPr>
        <w:t xml:space="preserve">como una </w:t>
      </w:r>
      <w:r w:rsidR="00624203">
        <w:rPr>
          <w:rFonts w:cs="Arial"/>
          <w:sz w:val="24"/>
          <w:szCs w:val="24"/>
        </w:rPr>
        <w:t xml:space="preserve">Sección 5 al Capítulo 3 del Título III del precitado Decreto. Esta modificación </w:t>
      </w:r>
      <w:r w:rsidRPr="00FA3F0A">
        <w:rPr>
          <w:rFonts w:cs="Arial"/>
          <w:sz w:val="24"/>
          <w:szCs w:val="24"/>
        </w:rPr>
        <w:t>n</w:t>
      </w:r>
      <w:r w:rsidR="00F14B66" w:rsidRPr="00535C6C">
        <w:rPr>
          <w:rFonts w:cs="Arial"/>
          <w:sz w:val="24"/>
          <w:szCs w:val="24"/>
        </w:rPr>
        <w:t xml:space="preserve">o produce efectos derogatorios </w:t>
      </w:r>
      <w:r w:rsidRPr="00FA3F0A">
        <w:rPr>
          <w:rFonts w:cs="Arial"/>
          <w:sz w:val="24"/>
          <w:szCs w:val="24"/>
        </w:rPr>
        <w:t xml:space="preserve">o subrogatorios. </w:t>
      </w:r>
    </w:p>
    <w:p w14:paraId="1DEF09DF" w14:textId="77777777" w:rsidR="000604E5" w:rsidRPr="00FA3F0A" w:rsidRDefault="000604E5" w:rsidP="00542931">
      <w:pPr>
        <w:spacing w:after="0" w:line="240" w:lineRule="auto"/>
        <w:ind w:right="-425"/>
        <w:jc w:val="both"/>
        <w:rPr>
          <w:rFonts w:cs="Arial"/>
          <w:b/>
          <w:sz w:val="24"/>
          <w:szCs w:val="24"/>
        </w:rPr>
      </w:pPr>
      <w:r w:rsidRPr="00FA3F0A">
        <w:rPr>
          <w:rFonts w:eastAsia="Times New Roman" w:cs="Arial"/>
          <w:b/>
          <w:color w:val="222222"/>
          <w:sz w:val="24"/>
          <w:szCs w:val="24"/>
          <w:lang w:eastAsia="es-CO"/>
        </w:rPr>
        <w:t>3.4. Revisión y análisis de las decisiones judiciales de los órganos de cierre de cada jurisdicción que pudieran tener impacto o ser relevantes para la expedición del acto</w:t>
      </w:r>
    </w:p>
    <w:p w14:paraId="765A7684" w14:textId="77777777" w:rsidR="000604E5" w:rsidRPr="00FA3F0A" w:rsidRDefault="000604E5" w:rsidP="00542931">
      <w:pPr>
        <w:spacing w:after="0" w:line="240" w:lineRule="auto"/>
        <w:ind w:right="-425"/>
        <w:jc w:val="both"/>
        <w:rPr>
          <w:rFonts w:cs="Arial"/>
          <w:sz w:val="24"/>
          <w:szCs w:val="24"/>
        </w:rPr>
      </w:pPr>
    </w:p>
    <w:p w14:paraId="0781A33D" w14:textId="3355D1D2" w:rsidR="000604E5" w:rsidRDefault="000604E5" w:rsidP="00831942">
      <w:pPr>
        <w:autoSpaceDE w:val="0"/>
        <w:autoSpaceDN w:val="0"/>
        <w:adjustRightInd w:val="0"/>
        <w:ind w:right="-425"/>
        <w:jc w:val="both"/>
        <w:rPr>
          <w:rFonts w:cs="Arial"/>
          <w:sz w:val="24"/>
          <w:szCs w:val="24"/>
        </w:rPr>
      </w:pPr>
      <w:r w:rsidRPr="00831942">
        <w:rPr>
          <w:rFonts w:cs="Arial"/>
          <w:sz w:val="24"/>
          <w:szCs w:val="24"/>
        </w:rPr>
        <w:t xml:space="preserve">De conformidad con la revisión realizada por la Coordinación del Grupo de Defensa Judicial de la Oficina Asesora Jurídica, no existen decisiones judiciales que generen impacto en la expedición del presente </w:t>
      </w:r>
      <w:r w:rsidR="004B5BBD" w:rsidRPr="00831942">
        <w:rPr>
          <w:rFonts w:cs="Arial"/>
          <w:sz w:val="24"/>
          <w:szCs w:val="24"/>
        </w:rPr>
        <w:t>Decreto</w:t>
      </w:r>
      <w:r w:rsidRPr="00831942">
        <w:rPr>
          <w:rFonts w:cs="Arial"/>
          <w:sz w:val="24"/>
          <w:szCs w:val="24"/>
        </w:rPr>
        <w:t>.</w:t>
      </w:r>
    </w:p>
    <w:p w14:paraId="6569688B" w14:textId="77777777" w:rsidR="000604E5" w:rsidRPr="00FA3F0A" w:rsidRDefault="000604E5" w:rsidP="00542931">
      <w:pPr>
        <w:numPr>
          <w:ilvl w:val="0"/>
          <w:numId w:val="1"/>
        </w:numPr>
        <w:spacing w:after="0" w:line="240" w:lineRule="auto"/>
        <w:ind w:right="-425"/>
        <w:jc w:val="both"/>
        <w:rPr>
          <w:rFonts w:cs="Arial"/>
          <w:b/>
          <w:sz w:val="24"/>
          <w:szCs w:val="24"/>
        </w:rPr>
      </w:pPr>
      <w:r w:rsidRPr="00FA3F0A">
        <w:rPr>
          <w:rFonts w:cs="Arial"/>
          <w:b/>
          <w:sz w:val="24"/>
          <w:szCs w:val="24"/>
        </w:rPr>
        <w:t>IMPACTO ECONÓMICO</w:t>
      </w:r>
    </w:p>
    <w:p w14:paraId="17DC827A" w14:textId="77777777" w:rsidR="00850EE7" w:rsidRPr="00FA3F0A" w:rsidRDefault="00850EE7" w:rsidP="00542931">
      <w:pPr>
        <w:pStyle w:val="Default"/>
        <w:ind w:right="-425"/>
        <w:jc w:val="both"/>
        <w:rPr>
          <w:lang w:val="es-ES"/>
        </w:rPr>
      </w:pPr>
    </w:p>
    <w:p w14:paraId="1718EB3A" w14:textId="25D2B59F" w:rsidR="00D06624" w:rsidRPr="00831942" w:rsidRDefault="00D06624" w:rsidP="00831942">
      <w:pPr>
        <w:autoSpaceDE w:val="0"/>
        <w:autoSpaceDN w:val="0"/>
        <w:adjustRightInd w:val="0"/>
        <w:ind w:right="-425"/>
        <w:jc w:val="both"/>
      </w:pPr>
      <w:r w:rsidRPr="00831942">
        <w:rPr>
          <w:rFonts w:cs="Arial"/>
          <w:sz w:val="24"/>
          <w:szCs w:val="24"/>
        </w:rPr>
        <w:t xml:space="preserve">El FENOGE es un fondo que actuará como mecanismo de financiación y catalizador de recursos para acelerar y mejorar las inversiones, la investigación, el desarrollo de </w:t>
      </w:r>
      <w:r w:rsidRPr="00831942">
        <w:rPr>
          <w:rFonts w:cs="Arial"/>
          <w:sz w:val="24"/>
          <w:szCs w:val="24"/>
        </w:rPr>
        <w:lastRenderedPageBreak/>
        <w:t>tecnologías limpias para la producción de energía, la eficiencia energética y la respuesta de la demanda en Colombia.</w:t>
      </w:r>
    </w:p>
    <w:p w14:paraId="2E29D785" w14:textId="33C9CD36" w:rsidR="00D06624" w:rsidRPr="00831942" w:rsidRDefault="00D06624" w:rsidP="00831942">
      <w:pPr>
        <w:autoSpaceDE w:val="0"/>
        <w:autoSpaceDN w:val="0"/>
        <w:adjustRightInd w:val="0"/>
        <w:ind w:right="-425"/>
        <w:jc w:val="both"/>
      </w:pPr>
      <w:r w:rsidRPr="00831942">
        <w:rPr>
          <w:rFonts w:cs="Arial"/>
          <w:sz w:val="24"/>
          <w:szCs w:val="24"/>
        </w:rPr>
        <w:t>El FENOGE tendrá un portafolio de fuentes de recursos ampli</w:t>
      </w:r>
      <w:r w:rsidR="00400D3E" w:rsidRPr="00831942">
        <w:rPr>
          <w:rFonts w:cs="Arial"/>
          <w:sz w:val="24"/>
          <w:szCs w:val="24"/>
        </w:rPr>
        <w:t>o</w:t>
      </w:r>
      <w:r w:rsidRPr="00831942">
        <w:rPr>
          <w:rFonts w:cs="Arial"/>
          <w:sz w:val="24"/>
          <w:szCs w:val="24"/>
        </w:rPr>
        <w:t>, reembolsables y no reembolsables, que permitirá financiar o cofinanciar total o parcialmente Planes, Programas o Proyectos que cumpliendo con evaluaciones de costo –beneficio permitan al Gobierno Nacional promover el desarrollo de fuentes no convencionales de energía y la gestión eficiente de la misma</w:t>
      </w:r>
      <w:r w:rsidR="00400D3E" w:rsidRPr="00831942">
        <w:rPr>
          <w:rFonts w:cs="Arial"/>
          <w:sz w:val="24"/>
          <w:szCs w:val="24"/>
        </w:rPr>
        <w:t>.</w:t>
      </w:r>
    </w:p>
    <w:p w14:paraId="314D44EB" w14:textId="222BEBA4" w:rsidR="00FF13BF" w:rsidRPr="00831942" w:rsidRDefault="00FF13BF" w:rsidP="00831942">
      <w:pPr>
        <w:autoSpaceDE w:val="0"/>
        <w:autoSpaceDN w:val="0"/>
        <w:adjustRightInd w:val="0"/>
        <w:ind w:right="-425"/>
        <w:jc w:val="both"/>
        <w:rPr>
          <w:rFonts w:cs="Arial"/>
          <w:szCs w:val="24"/>
        </w:rPr>
      </w:pPr>
      <w:r w:rsidRPr="00831942">
        <w:rPr>
          <w:rFonts w:cs="Arial"/>
          <w:sz w:val="24"/>
          <w:szCs w:val="24"/>
        </w:rPr>
        <w:t>Adicionalmente la promoción de la generación con fuentes no convencionales de energía renovable especialmente en las Zonas No Interconectadas</w:t>
      </w:r>
      <w:r w:rsidR="00CF520B">
        <w:rPr>
          <w:rFonts w:cs="Arial"/>
          <w:sz w:val="24"/>
          <w:szCs w:val="24"/>
        </w:rPr>
        <w:t xml:space="preserve">, podrá </w:t>
      </w:r>
      <w:r w:rsidRPr="00831942">
        <w:rPr>
          <w:rFonts w:cs="Arial"/>
          <w:sz w:val="24"/>
          <w:szCs w:val="24"/>
        </w:rPr>
        <w:t xml:space="preserve">reducir el monto de los subsidios que debe girar la Nación en virtud de lo establecido en la Ley 142 de 1994. </w:t>
      </w:r>
    </w:p>
    <w:p w14:paraId="2BECFCC0" w14:textId="71662E9D" w:rsidR="00D06624" w:rsidRPr="00831942" w:rsidRDefault="00FF13BF" w:rsidP="00831942">
      <w:pPr>
        <w:autoSpaceDE w:val="0"/>
        <w:autoSpaceDN w:val="0"/>
        <w:adjustRightInd w:val="0"/>
        <w:ind w:right="-425"/>
        <w:jc w:val="both"/>
      </w:pPr>
      <w:r w:rsidRPr="00831942">
        <w:rPr>
          <w:rFonts w:cs="Arial"/>
          <w:sz w:val="24"/>
          <w:szCs w:val="24"/>
        </w:rPr>
        <w:t>En el anterior contexto el impacto económico se estima positivo.</w:t>
      </w:r>
    </w:p>
    <w:p w14:paraId="72403D9C" w14:textId="77777777" w:rsidR="000604E5" w:rsidRPr="00FA3F0A" w:rsidRDefault="000604E5" w:rsidP="00542931">
      <w:pPr>
        <w:pStyle w:val="Textoindependiente"/>
        <w:numPr>
          <w:ilvl w:val="0"/>
          <w:numId w:val="1"/>
        </w:numPr>
        <w:ind w:right="-425"/>
        <w:jc w:val="left"/>
        <w:rPr>
          <w:rFonts w:cs="Arial"/>
          <w:b/>
          <w:szCs w:val="24"/>
          <w:lang w:val="es-CO"/>
        </w:rPr>
      </w:pPr>
      <w:r w:rsidRPr="00FA3F0A">
        <w:rPr>
          <w:rFonts w:cs="Arial"/>
          <w:b/>
          <w:szCs w:val="24"/>
          <w:lang w:val="es-CO"/>
        </w:rPr>
        <w:t>DISPONIBILIDAD PRESUPUESTAL</w:t>
      </w:r>
    </w:p>
    <w:p w14:paraId="25888DE3" w14:textId="77777777" w:rsidR="000604E5" w:rsidRPr="00FA3F0A" w:rsidRDefault="000604E5" w:rsidP="00542931">
      <w:pPr>
        <w:pStyle w:val="Textoindependiente"/>
        <w:ind w:right="-425"/>
        <w:jc w:val="left"/>
        <w:rPr>
          <w:rFonts w:cs="Arial"/>
          <w:szCs w:val="24"/>
          <w:lang w:val="es-CO"/>
        </w:rPr>
      </w:pPr>
    </w:p>
    <w:p w14:paraId="65AE9EB4" w14:textId="2DF3A4D2" w:rsidR="000604E5" w:rsidRPr="00FA3F0A" w:rsidRDefault="0035718F" w:rsidP="00542931">
      <w:pPr>
        <w:pStyle w:val="Textoindependiente"/>
        <w:ind w:right="-425"/>
        <w:rPr>
          <w:rFonts w:cs="Arial"/>
          <w:szCs w:val="24"/>
          <w:lang w:val="es-CO"/>
        </w:rPr>
      </w:pPr>
      <w:r w:rsidRPr="00FA3F0A">
        <w:rPr>
          <w:rFonts w:cs="Arial"/>
          <w:szCs w:val="24"/>
          <w:lang w:val="es-CO"/>
        </w:rPr>
        <w:t>No se requiere disponibilidad presupuestal para la implementación de</w:t>
      </w:r>
      <w:r w:rsidR="00220B12">
        <w:rPr>
          <w:rFonts w:cs="Arial"/>
          <w:szCs w:val="24"/>
          <w:lang w:val="es-CO"/>
        </w:rPr>
        <w:t>l presente Decreto.</w:t>
      </w:r>
    </w:p>
    <w:p w14:paraId="770B4EA9" w14:textId="77777777" w:rsidR="000604E5" w:rsidRPr="00FA3F0A" w:rsidRDefault="000604E5" w:rsidP="00542931">
      <w:pPr>
        <w:pStyle w:val="Textoindependiente"/>
        <w:ind w:right="-425"/>
        <w:rPr>
          <w:rFonts w:cs="Arial"/>
          <w:szCs w:val="24"/>
          <w:lang w:val="es-CO"/>
        </w:rPr>
      </w:pPr>
    </w:p>
    <w:p w14:paraId="07D59020" w14:textId="77777777" w:rsidR="000604E5" w:rsidRPr="00FA3F0A" w:rsidRDefault="000604E5" w:rsidP="00542931">
      <w:pPr>
        <w:pStyle w:val="Textoindependiente"/>
        <w:numPr>
          <w:ilvl w:val="0"/>
          <w:numId w:val="1"/>
        </w:numPr>
        <w:ind w:right="-425"/>
        <w:jc w:val="left"/>
        <w:rPr>
          <w:rFonts w:cs="Arial"/>
          <w:b/>
          <w:szCs w:val="24"/>
          <w:lang w:val="es-CO"/>
        </w:rPr>
      </w:pPr>
      <w:r w:rsidRPr="00FA3F0A">
        <w:rPr>
          <w:rFonts w:cs="Arial"/>
          <w:b/>
          <w:szCs w:val="24"/>
          <w:lang w:val="es-CO"/>
        </w:rPr>
        <w:t>IMPACTO MEDIO AMBIENTAL O SOBRE EL PATRIMONIO CULTURAL</w:t>
      </w:r>
    </w:p>
    <w:p w14:paraId="2706D04D" w14:textId="77777777" w:rsidR="000604E5" w:rsidRPr="00FA3F0A" w:rsidRDefault="000604E5" w:rsidP="00542931">
      <w:pPr>
        <w:pStyle w:val="Textoindependiente"/>
        <w:ind w:right="-425"/>
        <w:jc w:val="left"/>
        <w:rPr>
          <w:rFonts w:cs="Arial"/>
          <w:b/>
          <w:szCs w:val="24"/>
          <w:lang w:val="es-CO"/>
        </w:rPr>
      </w:pPr>
    </w:p>
    <w:p w14:paraId="40A3A8C1" w14:textId="3E1EDC91" w:rsidR="00220B12" w:rsidRPr="00831942" w:rsidRDefault="00220B12" w:rsidP="00831942">
      <w:pPr>
        <w:autoSpaceDE w:val="0"/>
        <w:autoSpaceDN w:val="0"/>
        <w:adjustRightInd w:val="0"/>
        <w:ind w:right="-425"/>
        <w:jc w:val="both"/>
        <w:rPr>
          <w:rFonts w:cs="Arial"/>
          <w:sz w:val="24"/>
          <w:szCs w:val="24"/>
        </w:rPr>
      </w:pPr>
      <w:r w:rsidRPr="00831942">
        <w:rPr>
          <w:rFonts w:cs="Arial"/>
          <w:sz w:val="24"/>
          <w:szCs w:val="24"/>
        </w:rPr>
        <w:t xml:space="preserve">Con el presente Decreto se busca promover y maximizar a través de buenas prácticas de reconversión tecnológica o sustitución de combustibles la eficiencia energética, efectuándose cambios en el consumo de energía eléctrica por parte del usuario con respecto a un patrón usual de consumo en respuesta a señales de precios o incentivos y donde se obtenga el mayor provecho de la energía, a partir de cualquier actividad de producción, transformación, transporte, distribución y consumo de las </w:t>
      </w:r>
      <w:r w:rsidR="00223364" w:rsidRPr="00831942">
        <w:rPr>
          <w:rFonts w:cs="Arial"/>
          <w:sz w:val="24"/>
          <w:szCs w:val="24"/>
        </w:rPr>
        <w:t>diferentes formas de energía,</w:t>
      </w:r>
      <w:r w:rsidRPr="00831942">
        <w:rPr>
          <w:rFonts w:cs="Arial"/>
          <w:sz w:val="24"/>
          <w:szCs w:val="24"/>
        </w:rPr>
        <w:t xml:space="preserve"> </w:t>
      </w:r>
      <w:r w:rsidR="00223364" w:rsidRPr="00831942">
        <w:rPr>
          <w:rFonts w:cs="Arial"/>
          <w:sz w:val="24"/>
          <w:szCs w:val="24"/>
        </w:rPr>
        <w:t xml:space="preserve">generando una mayor preservación del ambiente y </w:t>
      </w:r>
      <w:r w:rsidRPr="00831942">
        <w:rPr>
          <w:rFonts w:cs="Arial"/>
          <w:sz w:val="24"/>
          <w:szCs w:val="24"/>
        </w:rPr>
        <w:t>los recursos naturales renovables. </w:t>
      </w:r>
    </w:p>
    <w:p w14:paraId="0A4E9A5B" w14:textId="77777777" w:rsidR="000604E5" w:rsidRPr="00FA3F0A" w:rsidRDefault="000604E5" w:rsidP="00542931">
      <w:pPr>
        <w:pStyle w:val="Textoindependiente"/>
        <w:numPr>
          <w:ilvl w:val="0"/>
          <w:numId w:val="1"/>
        </w:numPr>
        <w:ind w:right="-425"/>
        <w:jc w:val="left"/>
        <w:rPr>
          <w:rFonts w:cs="Arial"/>
          <w:b/>
          <w:szCs w:val="24"/>
          <w:lang w:val="es-CO"/>
        </w:rPr>
      </w:pPr>
      <w:r w:rsidRPr="00FA3F0A">
        <w:rPr>
          <w:rFonts w:cs="Arial"/>
          <w:b/>
          <w:szCs w:val="24"/>
          <w:lang w:val="es-CO"/>
        </w:rPr>
        <w:t>CONSULTA</w:t>
      </w:r>
    </w:p>
    <w:p w14:paraId="04844ED5" w14:textId="05E5E8E0" w:rsidR="000604E5" w:rsidRPr="00FA3F0A" w:rsidRDefault="000604E5" w:rsidP="00542931">
      <w:pPr>
        <w:pStyle w:val="Textoindependiente"/>
        <w:ind w:right="-425"/>
        <w:jc w:val="left"/>
        <w:rPr>
          <w:rFonts w:cs="Arial"/>
          <w:b/>
          <w:szCs w:val="24"/>
          <w:lang w:val="es-CO"/>
        </w:rPr>
      </w:pPr>
    </w:p>
    <w:p w14:paraId="62D0F694" w14:textId="55015538" w:rsidR="000604E5" w:rsidRPr="001C48FB" w:rsidRDefault="000604E5" w:rsidP="00831942">
      <w:pPr>
        <w:autoSpaceDE w:val="0"/>
        <w:autoSpaceDN w:val="0"/>
        <w:adjustRightInd w:val="0"/>
        <w:ind w:right="-425"/>
        <w:jc w:val="both"/>
        <w:rPr>
          <w:rFonts w:cs="Arial"/>
          <w:szCs w:val="24"/>
        </w:rPr>
      </w:pPr>
      <w:r w:rsidRPr="00831942">
        <w:rPr>
          <w:rFonts w:cs="Arial"/>
          <w:sz w:val="24"/>
          <w:szCs w:val="24"/>
        </w:rPr>
        <w:t xml:space="preserve">No aplica por cuanto el </w:t>
      </w:r>
      <w:r w:rsidR="004C0ADC" w:rsidRPr="00831942">
        <w:rPr>
          <w:rFonts w:cs="Arial"/>
          <w:sz w:val="24"/>
          <w:szCs w:val="24"/>
        </w:rPr>
        <w:t>Decreto</w:t>
      </w:r>
      <w:r w:rsidRPr="00831942">
        <w:rPr>
          <w:rFonts w:cs="Arial"/>
          <w:sz w:val="24"/>
          <w:szCs w:val="24"/>
        </w:rPr>
        <w:t xml:space="preserve"> no genera ninguna incidencia para las comunidades indígenas ni minorías reconocidas constitucional ni legalmente</w:t>
      </w:r>
      <w:r w:rsidR="00F56CBC">
        <w:rPr>
          <w:rFonts w:cs="Arial"/>
          <w:sz w:val="24"/>
          <w:szCs w:val="24"/>
        </w:rPr>
        <w:t>, en razón al objeto de la norma</w:t>
      </w:r>
      <w:r w:rsidRPr="00831942">
        <w:rPr>
          <w:rFonts w:cs="Arial"/>
          <w:sz w:val="24"/>
          <w:szCs w:val="24"/>
        </w:rPr>
        <w:t xml:space="preserve">.  </w:t>
      </w:r>
    </w:p>
    <w:p w14:paraId="0F62FF50" w14:textId="77777777" w:rsidR="000604E5" w:rsidRPr="00FA3F0A" w:rsidRDefault="000604E5" w:rsidP="00C016D1">
      <w:pPr>
        <w:numPr>
          <w:ilvl w:val="0"/>
          <w:numId w:val="1"/>
        </w:numPr>
        <w:spacing w:after="0" w:line="240" w:lineRule="auto"/>
        <w:jc w:val="both"/>
        <w:rPr>
          <w:rFonts w:cs="Arial"/>
          <w:b/>
          <w:sz w:val="24"/>
          <w:szCs w:val="24"/>
        </w:rPr>
      </w:pPr>
      <w:r w:rsidRPr="00FA3F0A">
        <w:rPr>
          <w:rFonts w:cs="Arial"/>
          <w:b/>
          <w:sz w:val="24"/>
          <w:szCs w:val="24"/>
        </w:rPr>
        <w:t>PUBLICIDAD</w:t>
      </w:r>
    </w:p>
    <w:p w14:paraId="63E9508A" w14:textId="77777777" w:rsidR="000604E5" w:rsidRPr="00FA3F0A" w:rsidRDefault="000604E5" w:rsidP="00C016D1">
      <w:pPr>
        <w:spacing w:after="0" w:line="240" w:lineRule="auto"/>
        <w:jc w:val="both"/>
        <w:rPr>
          <w:rFonts w:cs="Arial"/>
          <w:color w:val="000000"/>
          <w:sz w:val="24"/>
          <w:szCs w:val="24"/>
        </w:rPr>
      </w:pPr>
    </w:p>
    <w:p w14:paraId="08C3ABFB" w14:textId="7BB20033" w:rsidR="000604E5" w:rsidRPr="00831942" w:rsidRDefault="000604E5" w:rsidP="00831942">
      <w:pPr>
        <w:autoSpaceDE w:val="0"/>
        <w:autoSpaceDN w:val="0"/>
        <w:adjustRightInd w:val="0"/>
        <w:ind w:right="-425"/>
        <w:jc w:val="both"/>
        <w:rPr>
          <w:rFonts w:cs="Arial"/>
          <w:sz w:val="24"/>
          <w:szCs w:val="24"/>
        </w:rPr>
      </w:pPr>
      <w:r w:rsidRPr="00FA3F0A">
        <w:rPr>
          <w:rFonts w:cs="Arial"/>
          <w:sz w:val="24"/>
          <w:szCs w:val="24"/>
        </w:rPr>
        <w:lastRenderedPageBreak/>
        <w:t>E</w:t>
      </w:r>
      <w:r w:rsidRPr="00831942">
        <w:rPr>
          <w:rFonts w:cs="Arial"/>
          <w:sz w:val="24"/>
          <w:szCs w:val="24"/>
        </w:rPr>
        <w:t xml:space="preserve">n atención a lo dispuesto en el numeral 8 del artículo 8 de la Ley 1437 de 2011, y en concordancia con lo previsto en el  artículo 2.1.2.1.14 del Decreto 270 de 2017, el presente </w:t>
      </w:r>
      <w:r w:rsidR="00262C6B" w:rsidRPr="00831942">
        <w:rPr>
          <w:rFonts w:cs="Arial"/>
          <w:sz w:val="24"/>
          <w:szCs w:val="24"/>
        </w:rPr>
        <w:t>proyecto de Decreto</w:t>
      </w:r>
      <w:r w:rsidRPr="00831942">
        <w:rPr>
          <w:rFonts w:cs="Arial"/>
          <w:sz w:val="24"/>
          <w:szCs w:val="24"/>
        </w:rPr>
        <w:t xml:space="preserve"> se publicó </w:t>
      </w:r>
      <w:r w:rsidR="00F56CBC">
        <w:rPr>
          <w:rFonts w:cs="Arial"/>
          <w:sz w:val="24"/>
          <w:szCs w:val="24"/>
        </w:rPr>
        <w:t xml:space="preserve">junto con la memoria justificativa o soporte técnico, </w:t>
      </w:r>
      <w:r w:rsidRPr="00831942">
        <w:rPr>
          <w:rFonts w:cs="Arial"/>
          <w:sz w:val="24"/>
          <w:szCs w:val="24"/>
        </w:rPr>
        <w:t xml:space="preserve">en la página web del Ministerio de Minas y Energía para comentarios del público entre </w:t>
      </w:r>
      <w:r w:rsidR="00F56CBC">
        <w:rPr>
          <w:rFonts w:cs="Arial"/>
          <w:sz w:val="24"/>
          <w:szCs w:val="24"/>
        </w:rPr>
        <w:t xml:space="preserve">los días 12 al 26 de </w:t>
      </w:r>
      <w:r w:rsidRPr="00831942">
        <w:rPr>
          <w:rFonts w:cs="Arial"/>
          <w:sz w:val="24"/>
          <w:szCs w:val="24"/>
        </w:rPr>
        <w:t>ju</w:t>
      </w:r>
      <w:r w:rsidR="00262C6B" w:rsidRPr="00831942">
        <w:rPr>
          <w:rFonts w:cs="Arial"/>
          <w:sz w:val="24"/>
          <w:szCs w:val="24"/>
        </w:rPr>
        <w:t>l</w:t>
      </w:r>
      <w:r w:rsidRPr="00831942">
        <w:rPr>
          <w:rFonts w:cs="Arial"/>
          <w:sz w:val="24"/>
          <w:szCs w:val="24"/>
        </w:rPr>
        <w:t>io de 2017.  Las observaciones y sugerencias recibidas fueron debidamente analizadas.</w:t>
      </w:r>
    </w:p>
    <w:p w14:paraId="61D1252F" w14:textId="77777777" w:rsidR="000604E5" w:rsidRPr="00FA3F0A" w:rsidRDefault="000604E5" w:rsidP="00831942">
      <w:pPr>
        <w:autoSpaceDE w:val="0"/>
        <w:autoSpaceDN w:val="0"/>
        <w:adjustRightInd w:val="0"/>
        <w:ind w:right="-425"/>
        <w:jc w:val="both"/>
        <w:rPr>
          <w:rFonts w:cs="Arial"/>
          <w:sz w:val="24"/>
          <w:szCs w:val="24"/>
        </w:rPr>
      </w:pPr>
      <w:r w:rsidRPr="00831942">
        <w:rPr>
          <w:rFonts w:cs="Arial"/>
          <w:sz w:val="24"/>
          <w:szCs w:val="24"/>
        </w:rPr>
        <w:t>La constancia de publicación emitida por el Grupo de Participación y Servicio al Ciudadano hace parte de esta memoria justificativa.</w:t>
      </w:r>
    </w:p>
    <w:p w14:paraId="24F04A8C" w14:textId="77777777" w:rsidR="000604E5" w:rsidRPr="00FA3F0A" w:rsidRDefault="000604E5" w:rsidP="00C016D1">
      <w:pPr>
        <w:numPr>
          <w:ilvl w:val="0"/>
          <w:numId w:val="1"/>
        </w:numPr>
        <w:spacing w:after="0" w:line="240" w:lineRule="auto"/>
        <w:jc w:val="both"/>
        <w:rPr>
          <w:rFonts w:cs="Arial"/>
          <w:b/>
          <w:sz w:val="24"/>
          <w:szCs w:val="24"/>
        </w:rPr>
      </w:pPr>
      <w:r w:rsidRPr="00FA3F0A">
        <w:rPr>
          <w:rFonts w:cs="Arial"/>
          <w:sz w:val="24"/>
          <w:szCs w:val="24"/>
        </w:rPr>
        <w:t xml:space="preserve"> </w:t>
      </w:r>
      <w:r w:rsidRPr="00FA3F0A">
        <w:rPr>
          <w:rFonts w:cs="Arial"/>
          <w:b/>
          <w:sz w:val="24"/>
          <w:szCs w:val="24"/>
        </w:rPr>
        <w:t>CONCEPTO DEL DEPARTAMENTO ADMINISTRATIVO DE LA FUNCIÓN PÚBLICA</w:t>
      </w:r>
    </w:p>
    <w:p w14:paraId="316898CE" w14:textId="77777777" w:rsidR="000604E5" w:rsidRPr="00FA3F0A" w:rsidRDefault="000604E5" w:rsidP="00C016D1">
      <w:pPr>
        <w:spacing w:after="0" w:line="240" w:lineRule="auto"/>
        <w:jc w:val="both"/>
        <w:rPr>
          <w:rFonts w:cs="Arial"/>
          <w:sz w:val="24"/>
          <w:szCs w:val="24"/>
        </w:rPr>
      </w:pPr>
    </w:p>
    <w:p w14:paraId="14BAD64E" w14:textId="4121D1F3" w:rsidR="000604E5" w:rsidRPr="00FA3F0A" w:rsidRDefault="000604E5" w:rsidP="00831942">
      <w:pPr>
        <w:autoSpaceDE w:val="0"/>
        <w:autoSpaceDN w:val="0"/>
        <w:adjustRightInd w:val="0"/>
        <w:ind w:right="-425"/>
        <w:jc w:val="both"/>
        <w:rPr>
          <w:rFonts w:cs="Arial"/>
          <w:sz w:val="24"/>
          <w:szCs w:val="24"/>
        </w:rPr>
      </w:pPr>
      <w:r w:rsidRPr="00FA3F0A">
        <w:rPr>
          <w:rFonts w:cs="Arial"/>
          <w:sz w:val="24"/>
          <w:szCs w:val="24"/>
        </w:rPr>
        <w:t xml:space="preserve">No aplica por cuanto el </w:t>
      </w:r>
      <w:r w:rsidR="00FA6389">
        <w:rPr>
          <w:rFonts w:cs="Arial"/>
          <w:sz w:val="24"/>
          <w:szCs w:val="24"/>
        </w:rPr>
        <w:t>presente proyecto de Decreto</w:t>
      </w:r>
      <w:r w:rsidRPr="00FA3F0A">
        <w:rPr>
          <w:rFonts w:cs="Arial"/>
          <w:sz w:val="24"/>
          <w:szCs w:val="24"/>
        </w:rPr>
        <w:t xml:space="preserve"> no establece nuevos trámites como lo dispone el artículo 2.1.2.1.11 del Decreto 1609 de 2015.</w:t>
      </w:r>
    </w:p>
    <w:p w14:paraId="718CA431" w14:textId="77777777" w:rsidR="000604E5" w:rsidRPr="00FA3F0A" w:rsidRDefault="000604E5" w:rsidP="00C016D1">
      <w:pPr>
        <w:pStyle w:val="Prrafodelista"/>
        <w:numPr>
          <w:ilvl w:val="0"/>
          <w:numId w:val="1"/>
        </w:numPr>
        <w:spacing w:before="0"/>
        <w:rPr>
          <w:rFonts w:ascii="Arial" w:hAnsi="Arial" w:cs="Arial"/>
          <w:b/>
          <w:color w:val="000000"/>
          <w:sz w:val="24"/>
          <w:szCs w:val="24"/>
        </w:rPr>
      </w:pPr>
      <w:r w:rsidRPr="00FA3F0A">
        <w:rPr>
          <w:rFonts w:ascii="Arial" w:hAnsi="Arial" w:cs="Arial"/>
          <w:b/>
          <w:color w:val="000000"/>
          <w:sz w:val="24"/>
          <w:szCs w:val="24"/>
        </w:rPr>
        <w:t>MATRIZ RESUMEN OBSERVACIONES Y COMENTARIOS</w:t>
      </w:r>
    </w:p>
    <w:p w14:paraId="3B83CF9B" w14:textId="77777777" w:rsidR="000604E5" w:rsidRPr="00FA3F0A" w:rsidRDefault="000604E5" w:rsidP="00C016D1">
      <w:pPr>
        <w:pStyle w:val="Prrafodelista"/>
        <w:spacing w:before="0"/>
        <w:ind w:left="0"/>
        <w:rPr>
          <w:rFonts w:ascii="Arial" w:hAnsi="Arial" w:cs="Arial"/>
          <w:b/>
          <w:color w:val="000000"/>
          <w:sz w:val="24"/>
          <w:szCs w:val="24"/>
        </w:rPr>
      </w:pPr>
    </w:p>
    <w:p w14:paraId="4AC0450D" w14:textId="77777777" w:rsidR="000604E5" w:rsidRPr="00831942" w:rsidRDefault="000604E5" w:rsidP="00831942">
      <w:pPr>
        <w:autoSpaceDE w:val="0"/>
        <w:autoSpaceDN w:val="0"/>
        <w:adjustRightInd w:val="0"/>
        <w:ind w:right="-425"/>
        <w:jc w:val="both"/>
        <w:rPr>
          <w:rFonts w:cs="Arial"/>
          <w:sz w:val="24"/>
          <w:szCs w:val="24"/>
        </w:rPr>
      </w:pPr>
      <w:r w:rsidRPr="00831942">
        <w:rPr>
          <w:rFonts w:cs="Arial"/>
          <w:sz w:val="24"/>
          <w:szCs w:val="24"/>
        </w:rPr>
        <w:t>La matriz con el resumen de las observaciones y comentarios recibidos sobre el proyecto normativo hacen parte de esta memoria justificativa.</w:t>
      </w:r>
    </w:p>
    <w:p w14:paraId="3EF9E2C6" w14:textId="77777777" w:rsidR="000604E5" w:rsidRPr="00FA3F0A" w:rsidRDefault="000604E5" w:rsidP="00FA3F0A">
      <w:pPr>
        <w:numPr>
          <w:ilvl w:val="0"/>
          <w:numId w:val="1"/>
        </w:numPr>
        <w:spacing w:after="0" w:line="240" w:lineRule="auto"/>
        <w:jc w:val="both"/>
        <w:rPr>
          <w:rFonts w:cs="Arial"/>
          <w:b/>
          <w:color w:val="000000"/>
          <w:sz w:val="24"/>
          <w:szCs w:val="24"/>
        </w:rPr>
      </w:pPr>
      <w:r w:rsidRPr="00FA3F0A">
        <w:rPr>
          <w:rFonts w:cs="Arial"/>
          <w:b/>
          <w:color w:val="000000"/>
          <w:sz w:val="24"/>
          <w:szCs w:val="24"/>
        </w:rPr>
        <w:t>INFORME GLOBAL DE LAS OBSERVACIONES Y COMENTARIOS</w:t>
      </w:r>
    </w:p>
    <w:p w14:paraId="137D89AB" w14:textId="77777777" w:rsidR="000604E5" w:rsidRPr="00FA3F0A" w:rsidRDefault="000604E5" w:rsidP="00FA3F0A">
      <w:pPr>
        <w:spacing w:after="0" w:line="240" w:lineRule="auto"/>
        <w:jc w:val="both"/>
        <w:rPr>
          <w:rFonts w:cs="Arial"/>
          <w:color w:val="000000"/>
          <w:sz w:val="24"/>
          <w:szCs w:val="24"/>
        </w:rPr>
      </w:pPr>
    </w:p>
    <w:p w14:paraId="52172063" w14:textId="77777777" w:rsidR="000604E5" w:rsidRPr="00831942" w:rsidRDefault="000604E5" w:rsidP="00831942">
      <w:pPr>
        <w:autoSpaceDE w:val="0"/>
        <w:autoSpaceDN w:val="0"/>
        <w:adjustRightInd w:val="0"/>
        <w:ind w:right="-425"/>
        <w:jc w:val="both"/>
        <w:rPr>
          <w:rFonts w:cs="Arial"/>
          <w:sz w:val="24"/>
          <w:szCs w:val="24"/>
        </w:rPr>
      </w:pPr>
      <w:r w:rsidRPr="00831942">
        <w:rPr>
          <w:rFonts w:cs="Arial"/>
          <w:sz w:val="24"/>
          <w:szCs w:val="24"/>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7AE1D6A1" w14:textId="76BEA554" w:rsidR="000604E5" w:rsidRPr="00831942" w:rsidRDefault="000604E5" w:rsidP="00831942">
      <w:pPr>
        <w:autoSpaceDE w:val="0"/>
        <w:autoSpaceDN w:val="0"/>
        <w:adjustRightInd w:val="0"/>
        <w:ind w:right="-425"/>
        <w:jc w:val="both"/>
        <w:rPr>
          <w:rFonts w:cs="Arial"/>
          <w:sz w:val="24"/>
          <w:szCs w:val="24"/>
        </w:rPr>
      </w:pPr>
      <w:r w:rsidRPr="00831942">
        <w:rPr>
          <w:rFonts w:cs="Arial"/>
          <w:sz w:val="24"/>
          <w:szCs w:val="24"/>
        </w:rPr>
        <w:t xml:space="preserve">La presente Memoria Justificativa fue elaborada por la Dirección de </w:t>
      </w:r>
      <w:r w:rsidR="00FA6389" w:rsidRPr="00831942">
        <w:rPr>
          <w:rFonts w:cs="Arial"/>
          <w:sz w:val="24"/>
          <w:szCs w:val="24"/>
        </w:rPr>
        <w:t xml:space="preserve">Energía Eléctrica </w:t>
      </w:r>
      <w:r w:rsidR="001D28D3" w:rsidRPr="00831942">
        <w:rPr>
          <w:rFonts w:cs="Arial"/>
          <w:sz w:val="24"/>
          <w:szCs w:val="24"/>
        </w:rPr>
        <w:t xml:space="preserve">el </w:t>
      </w:r>
      <w:r w:rsidR="006A126A" w:rsidRPr="00831942">
        <w:rPr>
          <w:rFonts w:cs="Arial"/>
          <w:sz w:val="24"/>
          <w:szCs w:val="24"/>
        </w:rPr>
        <w:t xml:space="preserve">11 de julio de 2017 </w:t>
      </w:r>
      <w:r w:rsidRPr="00831942">
        <w:rPr>
          <w:rFonts w:cs="Arial"/>
          <w:sz w:val="24"/>
          <w:szCs w:val="24"/>
        </w:rPr>
        <w:t>y la viabilidad jurídica cuenta con la revisión y visto bueno de la Oficina Asesora Jurídica.</w:t>
      </w:r>
    </w:p>
    <w:p w14:paraId="44F3D3AD" w14:textId="77777777" w:rsidR="000604E5" w:rsidRPr="00FA3F0A" w:rsidRDefault="000604E5" w:rsidP="00C016D1">
      <w:pPr>
        <w:spacing w:after="0" w:line="240" w:lineRule="auto"/>
        <w:jc w:val="both"/>
        <w:rPr>
          <w:rFonts w:eastAsia="Times New Roman" w:cs="Arial"/>
          <w:sz w:val="24"/>
          <w:szCs w:val="24"/>
          <w:lang w:eastAsia="es-ES"/>
        </w:rPr>
      </w:pPr>
    </w:p>
    <w:p w14:paraId="4D5744EB" w14:textId="77777777" w:rsidR="000604E5" w:rsidRDefault="000604E5" w:rsidP="00C016D1">
      <w:pPr>
        <w:spacing w:after="0" w:line="240" w:lineRule="auto"/>
        <w:jc w:val="both"/>
        <w:rPr>
          <w:rFonts w:cs="Arial"/>
          <w:b/>
          <w:sz w:val="24"/>
          <w:szCs w:val="24"/>
        </w:rPr>
      </w:pPr>
      <w:bookmarkStart w:id="1" w:name="_GoBack"/>
      <w:bookmarkEnd w:id="1"/>
    </w:p>
    <w:p w14:paraId="36FF9F3C" w14:textId="77777777" w:rsidR="001D28D3" w:rsidRPr="00FA3F0A" w:rsidRDefault="001D28D3" w:rsidP="00C016D1">
      <w:pPr>
        <w:spacing w:after="0" w:line="240" w:lineRule="auto"/>
        <w:jc w:val="both"/>
        <w:rPr>
          <w:rFonts w:cs="Arial"/>
          <w:b/>
          <w:sz w:val="24"/>
          <w:szCs w:val="24"/>
        </w:rPr>
      </w:pPr>
    </w:p>
    <w:p w14:paraId="27FBCF41" w14:textId="77777777" w:rsidR="000604E5" w:rsidRPr="00FA3F0A" w:rsidRDefault="000604E5" w:rsidP="00C016D1">
      <w:pPr>
        <w:spacing w:after="0" w:line="240" w:lineRule="auto"/>
        <w:jc w:val="both"/>
        <w:rPr>
          <w:rFonts w:cs="Arial"/>
          <w:b/>
          <w:sz w:val="24"/>
          <w:szCs w:val="24"/>
        </w:rPr>
      </w:pPr>
    </w:p>
    <w:p w14:paraId="0540AFA0" w14:textId="53166F98" w:rsidR="000604E5" w:rsidRPr="00FA3F0A" w:rsidRDefault="006A126A" w:rsidP="00C016D1">
      <w:pPr>
        <w:pStyle w:val="Textoindependiente"/>
        <w:ind w:right="425"/>
        <w:rPr>
          <w:rFonts w:cs="Arial"/>
          <w:b/>
          <w:szCs w:val="24"/>
        </w:rPr>
      </w:pPr>
      <w:r>
        <w:rPr>
          <w:rFonts w:cs="Arial"/>
          <w:b/>
          <w:szCs w:val="24"/>
        </w:rPr>
        <w:t xml:space="preserve">RUTTY PAOLA ORTIZ JARA </w:t>
      </w:r>
    </w:p>
    <w:p w14:paraId="1D9E40D5" w14:textId="1EC3ED64" w:rsidR="000604E5" w:rsidRPr="00FA3F0A" w:rsidRDefault="006A126A" w:rsidP="00C016D1">
      <w:pPr>
        <w:pStyle w:val="Textoindependiente"/>
        <w:ind w:right="425"/>
        <w:rPr>
          <w:rFonts w:cs="Arial"/>
          <w:szCs w:val="24"/>
        </w:rPr>
      </w:pPr>
      <w:r>
        <w:rPr>
          <w:rFonts w:cs="Arial"/>
          <w:szCs w:val="24"/>
        </w:rPr>
        <w:t>Viceministra de Energía</w:t>
      </w:r>
    </w:p>
    <w:p w14:paraId="5B29DC39" w14:textId="77777777" w:rsidR="000604E5" w:rsidRDefault="000604E5" w:rsidP="00C016D1">
      <w:pPr>
        <w:pStyle w:val="ListaCC"/>
        <w:spacing w:after="0" w:line="240" w:lineRule="auto"/>
        <w:jc w:val="both"/>
        <w:rPr>
          <w:rFonts w:cs="Arial"/>
          <w:sz w:val="24"/>
          <w:szCs w:val="24"/>
        </w:rPr>
      </w:pPr>
    </w:p>
    <w:p w14:paraId="63AE765C" w14:textId="77777777" w:rsidR="001D28D3" w:rsidRPr="00FA3F0A" w:rsidRDefault="001D28D3" w:rsidP="00C016D1">
      <w:pPr>
        <w:pStyle w:val="ListaCC"/>
        <w:spacing w:after="0" w:line="240" w:lineRule="auto"/>
        <w:jc w:val="both"/>
        <w:rPr>
          <w:rFonts w:cs="Arial"/>
          <w:sz w:val="24"/>
          <w:szCs w:val="24"/>
        </w:rPr>
      </w:pPr>
    </w:p>
    <w:p w14:paraId="6FF251C8" w14:textId="5D76E0A1" w:rsidR="000604E5" w:rsidRPr="00831942" w:rsidRDefault="000604E5" w:rsidP="00C016D1">
      <w:pPr>
        <w:pStyle w:val="ListaCC"/>
        <w:spacing w:after="0" w:line="240" w:lineRule="auto"/>
        <w:jc w:val="both"/>
        <w:rPr>
          <w:rFonts w:cs="Arial"/>
          <w:sz w:val="18"/>
          <w:szCs w:val="18"/>
        </w:rPr>
      </w:pPr>
      <w:r w:rsidRPr="00831942">
        <w:rPr>
          <w:rFonts w:cs="Arial"/>
          <w:sz w:val="18"/>
          <w:szCs w:val="18"/>
        </w:rPr>
        <w:t xml:space="preserve">Proyectó: </w:t>
      </w:r>
      <w:r w:rsidR="00D668E7" w:rsidRPr="00831942">
        <w:rPr>
          <w:rFonts w:cs="Arial"/>
          <w:sz w:val="18"/>
          <w:szCs w:val="18"/>
        </w:rPr>
        <w:t>Jen</w:t>
      </w:r>
      <w:r w:rsidR="00404791" w:rsidRPr="00831942">
        <w:rPr>
          <w:rFonts w:cs="Arial"/>
          <w:sz w:val="18"/>
          <w:szCs w:val="18"/>
        </w:rPr>
        <w:t>n</w:t>
      </w:r>
      <w:r w:rsidR="00D668E7" w:rsidRPr="00831942">
        <w:rPr>
          <w:rFonts w:cs="Arial"/>
          <w:sz w:val="18"/>
          <w:szCs w:val="18"/>
        </w:rPr>
        <w:t>ifer Suaza/ Irma Guevara</w:t>
      </w:r>
    </w:p>
    <w:p w14:paraId="3E384A5C" w14:textId="2C02F767" w:rsidR="000604E5" w:rsidRPr="00831942" w:rsidRDefault="000604E5" w:rsidP="00C016D1">
      <w:pPr>
        <w:pStyle w:val="Lista"/>
        <w:spacing w:after="0" w:line="240" w:lineRule="auto"/>
        <w:jc w:val="both"/>
        <w:rPr>
          <w:rFonts w:cs="Arial"/>
          <w:sz w:val="18"/>
          <w:szCs w:val="18"/>
        </w:rPr>
      </w:pPr>
      <w:r w:rsidRPr="00831942">
        <w:rPr>
          <w:rFonts w:cs="Arial"/>
          <w:sz w:val="18"/>
          <w:szCs w:val="18"/>
        </w:rPr>
        <w:t>Revisó: Yolanda Patiño Chacón/</w:t>
      </w:r>
      <w:r w:rsidR="00D668E7" w:rsidRPr="00831942">
        <w:rPr>
          <w:rFonts w:cs="Arial"/>
          <w:sz w:val="18"/>
          <w:szCs w:val="18"/>
        </w:rPr>
        <w:t xml:space="preserve"> </w:t>
      </w:r>
      <w:proofErr w:type="spellStart"/>
      <w:r w:rsidR="00D668E7" w:rsidRPr="00831942">
        <w:rPr>
          <w:rFonts w:cs="Arial"/>
          <w:sz w:val="18"/>
          <w:szCs w:val="18"/>
        </w:rPr>
        <w:t>Belfredi</w:t>
      </w:r>
      <w:proofErr w:type="spellEnd"/>
      <w:r w:rsidR="00D668E7" w:rsidRPr="00831942">
        <w:rPr>
          <w:rFonts w:cs="Arial"/>
          <w:sz w:val="18"/>
          <w:szCs w:val="18"/>
        </w:rPr>
        <w:t xml:space="preserve"> Prieto</w:t>
      </w:r>
      <w:r w:rsidR="00F56CBC">
        <w:rPr>
          <w:rFonts w:cs="Arial"/>
          <w:sz w:val="18"/>
          <w:szCs w:val="18"/>
        </w:rPr>
        <w:t>/Óscar Omar Gómez Calderón/Sonia Catherine Ochoa Sanabria</w:t>
      </w:r>
    </w:p>
    <w:p w14:paraId="26C81E7C" w14:textId="01C109CD" w:rsidR="00007BB0" w:rsidRPr="00FA3F0A" w:rsidRDefault="000604E5" w:rsidP="00831942">
      <w:pPr>
        <w:pStyle w:val="Lista"/>
        <w:spacing w:after="0" w:line="240" w:lineRule="auto"/>
        <w:jc w:val="both"/>
        <w:rPr>
          <w:rFonts w:cs="Arial"/>
          <w:sz w:val="24"/>
          <w:szCs w:val="24"/>
        </w:rPr>
      </w:pPr>
      <w:r w:rsidRPr="00831942">
        <w:rPr>
          <w:rFonts w:cs="Arial"/>
          <w:sz w:val="18"/>
          <w:szCs w:val="18"/>
        </w:rPr>
        <w:t xml:space="preserve">Aprobó:   </w:t>
      </w:r>
      <w:proofErr w:type="spellStart"/>
      <w:r w:rsidR="00D668E7" w:rsidRPr="00831942">
        <w:rPr>
          <w:rFonts w:cs="Arial"/>
          <w:sz w:val="18"/>
          <w:szCs w:val="18"/>
        </w:rPr>
        <w:t>Rutty</w:t>
      </w:r>
      <w:proofErr w:type="spellEnd"/>
      <w:r w:rsidR="00D668E7" w:rsidRPr="00831942">
        <w:rPr>
          <w:rFonts w:cs="Arial"/>
          <w:sz w:val="18"/>
          <w:szCs w:val="18"/>
        </w:rPr>
        <w:t xml:space="preserve"> Paola Ortiz Jara</w:t>
      </w:r>
    </w:p>
    <w:sectPr w:rsidR="00007BB0" w:rsidRPr="00FA3F0A" w:rsidSect="00831942">
      <w:headerReference w:type="default" r:id="rId8"/>
      <w:footerReference w:type="default" r:id="rId9"/>
      <w:pgSz w:w="12242" w:h="15842" w:code="1"/>
      <w:pgMar w:top="1474" w:right="1752" w:bottom="1247"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188C" w14:textId="77777777" w:rsidR="00DB3D00" w:rsidRDefault="00DB3D00">
      <w:pPr>
        <w:spacing w:after="0" w:line="240" w:lineRule="auto"/>
      </w:pPr>
      <w:r>
        <w:separator/>
      </w:r>
    </w:p>
  </w:endnote>
  <w:endnote w:type="continuationSeparator" w:id="0">
    <w:p w14:paraId="7A42A40B" w14:textId="77777777" w:rsidR="00DB3D00" w:rsidRDefault="00DB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44D6" w14:textId="77777777" w:rsidR="00C41270" w:rsidRPr="006437B2" w:rsidRDefault="00E46246"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831942">
      <w:rPr>
        <w:rFonts w:cs="Arial"/>
        <w:noProof/>
        <w:sz w:val="20"/>
        <w:szCs w:val="20"/>
      </w:rPr>
      <w:t>6</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831942">
      <w:rPr>
        <w:rFonts w:cs="Arial"/>
        <w:noProof/>
        <w:sz w:val="20"/>
        <w:szCs w:val="20"/>
      </w:rPr>
      <w:t>6</w:t>
    </w:r>
    <w:r>
      <w:rPr>
        <w:rFonts w:cs="Arial"/>
        <w:sz w:val="20"/>
        <w:szCs w:val="20"/>
      </w:rPr>
      <w:fldChar w:fldCharType="end"/>
    </w:r>
  </w:p>
  <w:p w14:paraId="16C4C69F" w14:textId="77777777" w:rsidR="00C41270" w:rsidRDefault="00E46246" w:rsidP="00C41270">
    <w:pPr>
      <w:pStyle w:val="Piedepgina"/>
      <w:jc w:val="center"/>
    </w:pPr>
    <w:r>
      <w:rPr>
        <w:noProof/>
        <w:lang w:val="es-ES" w:eastAsia="es-ES"/>
      </w:rPr>
      <w:drawing>
        <wp:anchor distT="0" distB="0" distL="114300" distR="114300" simplePos="0" relativeHeight="251660288" behindDoc="1" locked="0" layoutInCell="1" allowOverlap="1" wp14:anchorId="4853BE45" wp14:editId="4FB72CB7">
          <wp:simplePos x="0" y="0"/>
          <wp:positionH relativeFrom="page">
            <wp:align>right</wp:align>
          </wp:positionH>
          <wp:positionV relativeFrom="page">
            <wp:align>bottom</wp:align>
          </wp:positionV>
          <wp:extent cx="7755255" cy="969645"/>
          <wp:effectExtent l="0" t="0" r="0" b="190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4856D" w14:textId="77777777" w:rsidR="00412EC3" w:rsidRPr="00C41270" w:rsidRDefault="00DB3D00" w:rsidP="00C4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883E" w14:textId="77777777" w:rsidR="00DB3D00" w:rsidRDefault="00DB3D00">
      <w:pPr>
        <w:spacing w:after="0" w:line="240" w:lineRule="auto"/>
      </w:pPr>
      <w:r>
        <w:separator/>
      </w:r>
    </w:p>
  </w:footnote>
  <w:footnote w:type="continuationSeparator" w:id="0">
    <w:p w14:paraId="30A26480" w14:textId="77777777" w:rsidR="00DB3D00" w:rsidRDefault="00DB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477E" w14:textId="77777777" w:rsidR="00412EC3" w:rsidRDefault="00E46246" w:rsidP="00412EC3">
    <w:pPr>
      <w:pStyle w:val="Encabezado"/>
      <w:tabs>
        <w:tab w:val="clear" w:pos="4419"/>
        <w:tab w:val="clear" w:pos="8838"/>
      </w:tabs>
    </w:pPr>
    <w:r>
      <w:rPr>
        <w:noProof/>
        <w:lang w:val="es-ES" w:eastAsia="es-ES"/>
      </w:rPr>
      <w:drawing>
        <wp:anchor distT="0" distB="0" distL="114300" distR="114300" simplePos="0" relativeHeight="251659264" behindDoc="1" locked="0" layoutInCell="1" allowOverlap="1" wp14:anchorId="0585D998" wp14:editId="7AF94833">
          <wp:simplePos x="0" y="0"/>
          <wp:positionH relativeFrom="page">
            <wp:posOffset>4114800</wp:posOffset>
          </wp:positionH>
          <wp:positionV relativeFrom="page">
            <wp:posOffset>180975</wp:posOffset>
          </wp:positionV>
          <wp:extent cx="3206750" cy="680085"/>
          <wp:effectExtent l="0" t="0" r="0" b="5715"/>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0F6CBB"/>
    <w:multiLevelType w:val="hybridMultilevel"/>
    <w:tmpl w:val="A92694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E5"/>
    <w:rsid w:val="00002CE0"/>
    <w:rsid w:val="00044E2C"/>
    <w:rsid w:val="000604E5"/>
    <w:rsid w:val="000722FD"/>
    <w:rsid w:val="000B0A5C"/>
    <w:rsid w:val="000D5A37"/>
    <w:rsid w:val="000E0144"/>
    <w:rsid w:val="000E39EA"/>
    <w:rsid w:val="00131A3D"/>
    <w:rsid w:val="00167A8B"/>
    <w:rsid w:val="00181BBF"/>
    <w:rsid w:val="001A032C"/>
    <w:rsid w:val="001A6FCC"/>
    <w:rsid w:val="001C48FB"/>
    <w:rsid w:val="001C6271"/>
    <w:rsid w:val="001D28D3"/>
    <w:rsid w:val="001D644F"/>
    <w:rsid w:val="001E5708"/>
    <w:rsid w:val="00204B4E"/>
    <w:rsid w:val="002079B3"/>
    <w:rsid w:val="00210C3D"/>
    <w:rsid w:val="00220B12"/>
    <w:rsid w:val="00223364"/>
    <w:rsid w:val="00223B50"/>
    <w:rsid w:val="00242F9A"/>
    <w:rsid w:val="002459A9"/>
    <w:rsid w:val="002533A2"/>
    <w:rsid w:val="00255276"/>
    <w:rsid w:val="00262C6B"/>
    <w:rsid w:val="00287744"/>
    <w:rsid w:val="00287973"/>
    <w:rsid w:val="00293652"/>
    <w:rsid w:val="002E1679"/>
    <w:rsid w:val="0035718F"/>
    <w:rsid w:val="003B06EF"/>
    <w:rsid w:val="003B256D"/>
    <w:rsid w:val="003E47A6"/>
    <w:rsid w:val="003F5B3E"/>
    <w:rsid w:val="00400D3E"/>
    <w:rsid w:val="00404791"/>
    <w:rsid w:val="00426F2D"/>
    <w:rsid w:val="004352BD"/>
    <w:rsid w:val="0045701F"/>
    <w:rsid w:val="004605B7"/>
    <w:rsid w:val="004A09F8"/>
    <w:rsid w:val="004B5691"/>
    <w:rsid w:val="004B5BBD"/>
    <w:rsid w:val="004C0ADC"/>
    <w:rsid w:val="004C6673"/>
    <w:rsid w:val="004D0F6E"/>
    <w:rsid w:val="004E09D3"/>
    <w:rsid w:val="004E1757"/>
    <w:rsid w:val="004F0F45"/>
    <w:rsid w:val="00510142"/>
    <w:rsid w:val="00523A2A"/>
    <w:rsid w:val="005346B0"/>
    <w:rsid w:val="00535C6C"/>
    <w:rsid w:val="00542931"/>
    <w:rsid w:val="00545D89"/>
    <w:rsid w:val="00574990"/>
    <w:rsid w:val="00580EA5"/>
    <w:rsid w:val="005C3BE8"/>
    <w:rsid w:val="005D218B"/>
    <w:rsid w:val="005F1991"/>
    <w:rsid w:val="005F38B0"/>
    <w:rsid w:val="00600C01"/>
    <w:rsid w:val="00612EB2"/>
    <w:rsid w:val="00624203"/>
    <w:rsid w:val="006326E3"/>
    <w:rsid w:val="00636922"/>
    <w:rsid w:val="00640AE1"/>
    <w:rsid w:val="006446BB"/>
    <w:rsid w:val="0066628F"/>
    <w:rsid w:val="00672C12"/>
    <w:rsid w:val="006A126A"/>
    <w:rsid w:val="00704F0F"/>
    <w:rsid w:val="0070633A"/>
    <w:rsid w:val="00737932"/>
    <w:rsid w:val="00745FC7"/>
    <w:rsid w:val="00747786"/>
    <w:rsid w:val="007C3E51"/>
    <w:rsid w:val="007C6FE4"/>
    <w:rsid w:val="007E5F89"/>
    <w:rsid w:val="00831942"/>
    <w:rsid w:val="008326EA"/>
    <w:rsid w:val="00850EE7"/>
    <w:rsid w:val="00851F3C"/>
    <w:rsid w:val="00867728"/>
    <w:rsid w:val="00895954"/>
    <w:rsid w:val="008C7D0D"/>
    <w:rsid w:val="008E2B62"/>
    <w:rsid w:val="008E6AC8"/>
    <w:rsid w:val="009147E4"/>
    <w:rsid w:val="00986C49"/>
    <w:rsid w:val="00A06CB5"/>
    <w:rsid w:val="00A13464"/>
    <w:rsid w:val="00A21D7D"/>
    <w:rsid w:val="00A70C25"/>
    <w:rsid w:val="00A71AD2"/>
    <w:rsid w:val="00AA17F5"/>
    <w:rsid w:val="00AB2D0E"/>
    <w:rsid w:val="00AE1E73"/>
    <w:rsid w:val="00B105EC"/>
    <w:rsid w:val="00B314EF"/>
    <w:rsid w:val="00B37ED5"/>
    <w:rsid w:val="00B42269"/>
    <w:rsid w:val="00B5073E"/>
    <w:rsid w:val="00B62120"/>
    <w:rsid w:val="00B82674"/>
    <w:rsid w:val="00B928CD"/>
    <w:rsid w:val="00BE104B"/>
    <w:rsid w:val="00BE3837"/>
    <w:rsid w:val="00BF0006"/>
    <w:rsid w:val="00C016D1"/>
    <w:rsid w:val="00C07175"/>
    <w:rsid w:val="00C27E17"/>
    <w:rsid w:val="00C66E13"/>
    <w:rsid w:val="00C774E7"/>
    <w:rsid w:val="00C90874"/>
    <w:rsid w:val="00CA7B7F"/>
    <w:rsid w:val="00CB716B"/>
    <w:rsid w:val="00CD56EE"/>
    <w:rsid w:val="00CE1AD6"/>
    <w:rsid w:val="00CE3C65"/>
    <w:rsid w:val="00CF520B"/>
    <w:rsid w:val="00D06624"/>
    <w:rsid w:val="00D35D41"/>
    <w:rsid w:val="00D50ABC"/>
    <w:rsid w:val="00D56A28"/>
    <w:rsid w:val="00D668E7"/>
    <w:rsid w:val="00DB3D00"/>
    <w:rsid w:val="00DC002B"/>
    <w:rsid w:val="00DD75DB"/>
    <w:rsid w:val="00E120BF"/>
    <w:rsid w:val="00E228D4"/>
    <w:rsid w:val="00E3552E"/>
    <w:rsid w:val="00E46246"/>
    <w:rsid w:val="00E57BF4"/>
    <w:rsid w:val="00EC203D"/>
    <w:rsid w:val="00F03A66"/>
    <w:rsid w:val="00F053F8"/>
    <w:rsid w:val="00F14B66"/>
    <w:rsid w:val="00F22D1F"/>
    <w:rsid w:val="00F41553"/>
    <w:rsid w:val="00F54ACC"/>
    <w:rsid w:val="00F56CBC"/>
    <w:rsid w:val="00F617A4"/>
    <w:rsid w:val="00F6733B"/>
    <w:rsid w:val="00F728FD"/>
    <w:rsid w:val="00F767A7"/>
    <w:rsid w:val="00F90642"/>
    <w:rsid w:val="00F942D9"/>
    <w:rsid w:val="00FA3F0A"/>
    <w:rsid w:val="00FA6389"/>
    <w:rsid w:val="00FC55AE"/>
    <w:rsid w:val="00FF1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AFE7"/>
  <w15:chartTrackingRefBased/>
  <w15:docId w15:val="{398E5794-C122-4EA6-B398-7A68015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E5"/>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4E5"/>
    <w:rPr>
      <w:rFonts w:ascii="Arial" w:eastAsia="Arial" w:hAnsi="Arial" w:cs="Times New Roman"/>
    </w:rPr>
  </w:style>
  <w:style w:type="paragraph" w:styleId="Piedepgina">
    <w:name w:val="footer"/>
    <w:basedOn w:val="Normal"/>
    <w:link w:val="PiedepginaCar"/>
    <w:uiPriority w:val="99"/>
    <w:unhideWhenUsed/>
    <w:rsid w:val="00060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4E5"/>
    <w:rPr>
      <w:rFonts w:ascii="Arial" w:eastAsia="Arial" w:hAnsi="Arial" w:cs="Times New Roman"/>
    </w:rPr>
  </w:style>
  <w:style w:type="paragraph" w:styleId="Textoindependiente">
    <w:name w:val="Body Text"/>
    <w:basedOn w:val="Normal"/>
    <w:link w:val="TextoindependienteCar"/>
    <w:unhideWhenUsed/>
    <w:rsid w:val="000604E5"/>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0604E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604E5"/>
    <w:pPr>
      <w:spacing w:before="120" w:after="0" w:line="240" w:lineRule="auto"/>
      <w:ind w:left="720"/>
      <w:contextualSpacing/>
      <w:jc w:val="both"/>
    </w:pPr>
    <w:rPr>
      <w:rFonts w:ascii="Calibri" w:eastAsia="Calibri" w:hAnsi="Calibri"/>
    </w:rPr>
  </w:style>
  <w:style w:type="paragraph" w:customStyle="1" w:styleId="Default">
    <w:name w:val="Default"/>
    <w:rsid w:val="000604E5"/>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ListaCC">
    <w:name w:val="Lista CC."/>
    <w:basedOn w:val="Normal"/>
    <w:rsid w:val="000604E5"/>
  </w:style>
  <w:style w:type="paragraph" w:styleId="Lista">
    <w:name w:val="List"/>
    <w:basedOn w:val="Normal"/>
    <w:uiPriority w:val="99"/>
    <w:unhideWhenUsed/>
    <w:rsid w:val="000604E5"/>
    <w:pPr>
      <w:ind w:left="283" w:hanging="283"/>
      <w:contextualSpacing/>
    </w:pPr>
  </w:style>
  <w:style w:type="character" w:customStyle="1" w:styleId="apple-converted-space">
    <w:name w:val="apple-converted-space"/>
    <w:basedOn w:val="Fuentedeprrafopredeter"/>
    <w:rsid w:val="000604E5"/>
  </w:style>
  <w:style w:type="character" w:styleId="Hipervnculo">
    <w:name w:val="Hyperlink"/>
    <w:basedOn w:val="Fuentedeprrafopredeter"/>
    <w:uiPriority w:val="99"/>
    <w:unhideWhenUsed/>
    <w:rsid w:val="000604E5"/>
    <w:rPr>
      <w:color w:val="0000FF"/>
      <w:u w:val="single"/>
    </w:rPr>
  </w:style>
  <w:style w:type="paragraph" w:styleId="NormalWeb">
    <w:name w:val="Normal (Web)"/>
    <w:basedOn w:val="Normal"/>
    <w:uiPriority w:val="99"/>
    <w:unhideWhenUsed/>
    <w:rsid w:val="000722FD"/>
    <w:pPr>
      <w:spacing w:before="100" w:beforeAutospacing="1" w:after="100" w:afterAutospacing="1" w:line="240" w:lineRule="auto"/>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CD56EE"/>
    <w:rPr>
      <w:sz w:val="16"/>
      <w:szCs w:val="16"/>
    </w:rPr>
  </w:style>
  <w:style w:type="paragraph" w:styleId="Textocomentario">
    <w:name w:val="annotation text"/>
    <w:basedOn w:val="Normal"/>
    <w:link w:val="TextocomentarioCar"/>
    <w:uiPriority w:val="99"/>
    <w:semiHidden/>
    <w:unhideWhenUsed/>
    <w:rsid w:val="00CD56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6EE"/>
    <w:rPr>
      <w:rFonts w:ascii="Arial" w:eastAsia="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D56EE"/>
    <w:rPr>
      <w:b/>
      <w:bCs/>
    </w:rPr>
  </w:style>
  <w:style w:type="character" w:customStyle="1" w:styleId="AsuntodelcomentarioCar">
    <w:name w:val="Asunto del comentario Car"/>
    <w:basedOn w:val="TextocomentarioCar"/>
    <w:link w:val="Asuntodelcomentario"/>
    <w:uiPriority w:val="99"/>
    <w:semiHidden/>
    <w:rsid w:val="00CD56EE"/>
    <w:rPr>
      <w:rFonts w:ascii="Arial" w:eastAsia="Arial" w:hAnsi="Arial" w:cs="Times New Roman"/>
      <w:b/>
      <w:bCs/>
      <w:sz w:val="20"/>
      <w:szCs w:val="20"/>
    </w:rPr>
  </w:style>
  <w:style w:type="paragraph" w:styleId="Textodeglobo">
    <w:name w:val="Balloon Text"/>
    <w:basedOn w:val="Normal"/>
    <w:link w:val="TextodegloboCar"/>
    <w:uiPriority w:val="99"/>
    <w:semiHidden/>
    <w:unhideWhenUsed/>
    <w:rsid w:val="00CD5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6EE"/>
    <w:rPr>
      <w:rFonts w:ascii="Segoe UI" w:eastAsia="Arial" w:hAnsi="Segoe UI" w:cs="Segoe UI"/>
      <w:sz w:val="18"/>
      <w:szCs w:val="18"/>
    </w:rPr>
  </w:style>
  <w:style w:type="paragraph" w:customStyle="1" w:styleId="ecxmsonormal">
    <w:name w:val="ecxmsonormal"/>
    <w:basedOn w:val="Normal"/>
    <w:rsid w:val="00545D89"/>
    <w:pPr>
      <w:spacing w:after="324" w:line="240" w:lineRule="auto"/>
    </w:pPr>
    <w:rPr>
      <w:rFonts w:ascii="Times New Roman" w:eastAsia="Times New Roman" w:hAnsi="Times New Roman"/>
      <w:sz w:val="24"/>
      <w:szCs w:val="24"/>
      <w:lang w:val="en-US"/>
    </w:rPr>
  </w:style>
  <w:style w:type="paragraph" w:styleId="Textonotapie">
    <w:name w:val="footnote text"/>
    <w:aliases w:val="single space,ft,fn,Footnote Text Char Char Char Char Char Char,Footnote Text Char1,Footnote Text Char Char,Footnote,Fußnote,FOOTNOTES,Footnote Text Char Char Char Char1,Footnote Text Char Char Char Char Ch,Fußnotentextf,f,footnote,Texto"/>
    <w:basedOn w:val="Normal"/>
    <w:link w:val="TextonotapieCar"/>
    <w:qFormat/>
    <w:rsid w:val="00510142"/>
    <w:pPr>
      <w:suppressAutoHyphens/>
      <w:spacing w:after="0" w:line="240" w:lineRule="auto"/>
    </w:pPr>
    <w:rPr>
      <w:rFonts w:asciiTheme="majorHAnsi" w:eastAsiaTheme="minorHAnsi" w:hAnsiTheme="majorHAnsi" w:cstheme="majorHAnsi"/>
      <w:sz w:val="18"/>
      <w:szCs w:val="18"/>
      <w:lang w:val="es-ES"/>
    </w:rPr>
  </w:style>
  <w:style w:type="character" w:customStyle="1" w:styleId="TextonotapieCar">
    <w:name w:val="Texto nota pie Car"/>
    <w:aliases w:val="single space Car,ft Car,fn Car,Footnote Text Char Char Char Char Char Char Car,Footnote Text Char1 Car,Footnote Text Char Char Car,Footnote Car,Fußnote Car,FOOTNOTES Car,Footnote Text Char Char Char Char1 Car,Fußnotentextf Car,f Car"/>
    <w:basedOn w:val="Fuentedeprrafopredeter"/>
    <w:link w:val="Textonotapie"/>
    <w:rsid w:val="00510142"/>
    <w:rPr>
      <w:rFonts w:asciiTheme="majorHAnsi" w:hAnsiTheme="majorHAnsi" w:cstheme="majorHAnsi"/>
      <w:sz w:val="18"/>
      <w:szCs w:val="18"/>
      <w:lang w:val="es-ES"/>
    </w:rPr>
  </w:style>
  <w:style w:type="character" w:styleId="Refdenotaalpie">
    <w:name w:val="footnote reference"/>
    <w:aliases w:val="ftref,16 Point,Superscript 6 Point,Style 6 + Calibri,12 p...,Style 6,titulo 2,Fußnotenzeichen DISS,BVI fnr, BVI fnr,Знак сноски 1,referencia nota al pie,FC,Footnote Referencefra,Ref. de nota al pie.,Stinking Styles11,Footnote symbol"/>
    <w:basedOn w:val="Fuentedeprrafopredeter"/>
    <w:unhideWhenUsed/>
    <w:rsid w:val="00510142"/>
    <w:rPr>
      <w:vertAlign w:val="superscript"/>
    </w:rPr>
  </w:style>
  <w:style w:type="paragraph" w:customStyle="1" w:styleId="Ecotext">
    <w:name w:val="*Eco text"/>
    <w:link w:val="EcotextCar"/>
    <w:qFormat/>
    <w:rsid w:val="00510142"/>
    <w:pPr>
      <w:suppressAutoHyphens/>
      <w:spacing w:before="180" w:after="180" w:line="288" w:lineRule="auto"/>
      <w:jc w:val="both"/>
    </w:pPr>
    <w:rPr>
      <w:rFonts w:ascii="Arial" w:hAnsi="Arial"/>
      <w:lang w:val="en-CA"/>
    </w:rPr>
  </w:style>
  <w:style w:type="character" w:customStyle="1" w:styleId="EcotextCar">
    <w:name w:val="*Eco text Car"/>
    <w:basedOn w:val="Fuentedeprrafopredeter"/>
    <w:link w:val="Ecotext"/>
    <w:rsid w:val="00510142"/>
    <w:rPr>
      <w:rFonts w:ascii="Arial" w:hAnsi="Arial"/>
      <w:lang w:val="en-CA"/>
    </w:rPr>
  </w:style>
  <w:style w:type="paragraph" w:styleId="Revisin">
    <w:name w:val="Revision"/>
    <w:hidden/>
    <w:uiPriority w:val="99"/>
    <w:semiHidden/>
    <w:rsid w:val="00C016D1"/>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presidencia.gov.co/normativa/normativa/LEY%201819%20DEL%2029%20DE%20DICIEMBRE%20DE%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IRMA GUEVARA FAJARDO</cp:lastModifiedBy>
  <cp:revision>3</cp:revision>
  <dcterms:created xsi:type="dcterms:W3CDTF">2017-07-12T21:36:00Z</dcterms:created>
  <dcterms:modified xsi:type="dcterms:W3CDTF">2017-07-12T21:37:00Z</dcterms:modified>
</cp:coreProperties>
</file>