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188D2" w14:textId="77777777" w:rsidR="009E033E" w:rsidRPr="00370068" w:rsidRDefault="009E033E" w:rsidP="00D2704A">
      <w:pPr>
        <w:jc w:val="center"/>
        <w:rPr>
          <w:rFonts w:ascii="Arial" w:hAnsi="Arial" w:cs="Arial"/>
          <w:sz w:val="22"/>
        </w:rPr>
      </w:pPr>
    </w:p>
    <w:p w14:paraId="068AA18E" w14:textId="77777777" w:rsidR="008D6385" w:rsidRPr="00370068" w:rsidRDefault="008D6385" w:rsidP="00D2704A">
      <w:pPr>
        <w:jc w:val="center"/>
        <w:rPr>
          <w:rFonts w:ascii="Arial" w:hAnsi="Arial" w:cs="Arial"/>
          <w:sz w:val="22"/>
        </w:rPr>
      </w:pPr>
    </w:p>
    <w:p w14:paraId="0F648015" w14:textId="77777777" w:rsidR="009E033E" w:rsidRPr="00370068" w:rsidRDefault="009E033E" w:rsidP="00D2704A">
      <w:pPr>
        <w:pStyle w:val="Ttulo1"/>
        <w:rPr>
          <w:rFonts w:cs="Arial"/>
          <w:sz w:val="22"/>
        </w:rPr>
      </w:pPr>
    </w:p>
    <w:p w14:paraId="1D9261A6" w14:textId="77777777" w:rsidR="009E033E" w:rsidRPr="00370068" w:rsidRDefault="009E033E" w:rsidP="00D2704A">
      <w:pPr>
        <w:pStyle w:val="Ttulo1"/>
        <w:rPr>
          <w:rFonts w:cs="Arial"/>
          <w:sz w:val="22"/>
        </w:rPr>
      </w:pPr>
    </w:p>
    <w:p w14:paraId="4BE8EAA8" w14:textId="77777777" w:rsidR="00042A4A" w:rsidRDefault="00042A4A" w:rsidP="00370068">
      <w:pPr>
        <w:pStyle w:val="Default"/>
        <w:spacing w:line="360" w:lineRule="auto"/>
        <w:outlineLvl w:val="0"/>
        <w:rPr>
          <w:rFonts w:ascii="Arial" w:hAnsi="Arial" w:cs="Arial"/>
          <w:b/>
          <w:bCs/>
          <w:color w:val="auto"/>
          <w:sz w:val="22"/>
          <w:szCs w:val="22"/>
        </w:rPr>
      </w:pPr>
    </w:p>
    <w:p w14:paraId="42209306" w14:textId="6D9DF3AC" w:rsidR="000E1537" w:rsidRPr="00370068" w:rsidRDefault="00370068" w:rsidP="00370068">
      <w:pPr>
        <w:pStyle w:val="Default"/>
        <w:spacing w:line="360" w:lineRule="auto"/>
        <w:outlineLvl w:val="0"/>
        <w:rPr>
          <w:rFonts w:ascii="Arial" w:hAnsi="Arial" w:cs="Arial"/>
          <w:b/>
          <w:bCs/>
          <w:color w:val="auto"/>
          <w:sz w:val="22"/>
          <w:szCs w:val="22"/>
        </w:rPr>
      </w:pPr>
      <w:r w:rsidRPr="00370068">
        <w:rPr>
          <w:rFonts w:ascii="Arial" w:hAnsi="Arial" w:cs="Arial"/>
          <w:b/>
          <w:bCs/>
          <w:color w:val="auto"/>
          <w:sz w:val="22"/>
          <w:szCs w:val="22"/>
        </w:rPr>
        <w:t xml:space="preserve">                       </w:t>
      </w:r>
      <w:r w:rsidR="000E1537" w:rsidRPr="00370068">
        <w:rPr>
          <w:rFonts w:ascii="Arial" w:hAnsi="Arial" w:cs="Arial"/>
          <w:b/>
          <w:bCs/>
          <w:color w:val="auto"/>
          <w:sz w:val="22"/>
          <w:szCs w:val="22"/>
        </w:rPr>
        <w:t xml:space="preserve">RESOLUCIÓN NÚMERO </w:t>
      </w:r>
      <w:r w:rsidRPr="00370068">
        <w:rPr>
          <w:rFonts w:ascii="Arial" w:hAnsi="Arial" w:cs="Arial"/>
          <w:b/>
          <w:bCs/>
          <w:color w:val="auto"/>
          <w:sz w:val="22"/>
          <w:szCs w:val="22"/>
        </w:rPr>
        <w:t xml:space="preserve">     </w:t>
      </w:r>
    </w:p>
    <w:p w14:paraId="5F9A0D03" w14:textId="77777777" w:rsidR="00370068" w:rsidRPr="00370068" w:rsidRDefault="00370068" w:rsidP="00370068">
      <w:pPr>
        <w:pStyle w:val="Default"/>
        <w:spacing w:line="360" w:lineRule="auto"/>
        <w:outlineLvl w:val="0"/>
        <w:rPr>
          <w:rFonts w:ascii="Arial" w:hAnsi="Arial" w:cs="Arial"/>
          <w:b/>
          <w:bCs/>
          <w:color w:val="auto"/>
          <w:sz w:val="22"/>
          <w:szCs w:val="22"/>
        </w:rPr>
      </w:pPr>
    </w:p>
    <w:p w14:paraId="76B525C8" w14:textId="1D8F4054" w:rsidR="000E1537" w:rsidRPr="00370068" w:rsidRDefault="000E1537" w:rsidP="000E1537">
      <w:pPr>
        <w:pStyle w:val="Default"/>
        <w:spacing w:line="360" w:lineRule="auto"/>
        <w:jc w:val="center"/>
        <w:outlineLvl w:val="0"/>
        <w:rPr>
          <w:rFonts w:ascii="Arial" w:hAnsi="Arial" w:cs="Arial"/>
          <w:b/>
          <w:bCs/>
          <w:color w:val="auto"/>
          <w:sz w:val="22"/>
          <w:szCs w:val="22"/>
        </w:rPr>
      </w:pPr>
      <w:r w:rsidRPr="00370068">
        <w:rPr>
          <w:rFonts w:ascii="Arial" w:hAnsi="Arial" w:cs="Arial"/>
          <w:b/>
          <w:bCs/>
          <w:color w:val="auto"/>
          <w:sz w:val="22"/>
          <w:szCs w:val="22"/>
        </w:rPr>
        <w:t>(</w:t>
      </w:r>
      <w:r w:rsidR="00370068" w:rsidRPr="00370068">
        <w:rPr>
          <w:rFonts w:ascii="Arial" w:hAnsi="Arial" w:cs="Arial"/>
          <w:b/>
          <w:bCs/>
          <w:color w:val="auto"/>
          <w:sz w:val="22"/>
          <w:szCs w:val="22"/>
        </w:rPr>
        <w:t xml:space="preserve">                                          </w:t>
      </w:r>
      <w:r w:rsidRPr="00370068">
        <w:rPr>
          <w:rFonts w:ascii="Arial" w:hAnsi="Arial" w:cs="Arial"/>
          <w:b/>
          <w:bCs/>
          <w:color w:val="auto"/>
          <w:sz w:val="22"/>
          <w:szCs w:val="22"/>
        </w:rPr>
        <w:t>)</w:t>
      </w:r>
    </w:p>
    <w:p w14:paraId="33F20BED" w14:textId="77777777" w:rsidR="00370068" w:rsidRPr="00370068" w:rsidRDefault="00370068" w:rsidP="000E1537">
      <w:pPr>
        <w:pStyle w:val="Default"/>
        <w:spacing w:line="360" w:lineRule="auto"/>
        <w:jc w:val="center"/>
        <w:outlineLvl w:val="0"/>
        <w:rPr>
          <w:rFonts w:ascii="Arial" w:hAnsi="Arial" w:cs="Arial"/>
          <w:b/>
          <w:bCs/>
          <w:color w:val="auto"/>
          <w:sz w:val="22"/>
          <w:szCs w:val="22"/>
        </w:rPr>
      </w:pPr>
    </w:p>
    <w:p w14:paraId="5409F04C" w14:textId="77777777" w:rsidR="000E1537" w:rsidRPr="00370068" w:rsidRDefault="000E1537" w:rsidP="00370068">
      <w:pPr>
        <w:pStyle w:val="Default"/>
        <w:jc w:val="center"/>
        <w:rPr>
          <w:rFonts w:ascii="Arial" w:hAnsi="Arial" w:cs="Arial"/>
          <w:i/>
          <w:color w:val="auto"/>
          <w:sz w:val="22"/>
          <w:szCs w:val="22"/>
        </w:rPr>
      </w:pPr>
      <w:r w:rsidRPr="00370068">
        <w:rPr>
          <w:rFonts w:ascii="Arial" w:hAnsi="Arial" w:cs="Arial"/>
          <w:i/>
          <w:iCs/>
          <w:color w:val="auto"/>
          <w:sz w:val="22"/>
          <w:szCs w:val="22"/>
        </w:rPr>
        <w:t xml:space="preserve">Por la cual se adopta el Plan de Acción Indicativo 2017-2022 </w:t>
      </w:r>
      <w:r w:rsidRPr="00370068">
        <w:rPr>
          <w:rFonts w:ascii="Arial" w:hAnsi="Arial" w:cs="Arial"/>
          <w:i/>
          <w:color w:val="auto"/>
          <w:sz w:val="22"/>
          <w:szCs w:val="22"/>
        </w:rPr>
        <w:t xml:space="preserve">para el desarrollo del </w:t>
      </w:r>
      <w:r w:rsidRPr="00370068">
        <w:rPr>
          <w:rFonts w:ascii="Arial" w:hAnsi="Arial" w:cs="Arial"/>
          <w:i/>
          <w:iCs/>
          <w:color w:val="auto"/>
          <w:sz w:val="22"/>
          <w:szCs w:val="22"/>
        </w:rPr>
        <w:t>Programa de Uso Racional y Eficiente de la Energía, PROURE</w:t>
      </w:r>
      <w:r w:rsidRPr="00370068">
        <w:rPr>
          <w:rFonts w:ascii="Arial" w:hAnsi="Arial" w:cs="Arial"/>
          <w:i/>
          <w:color w:val="auto"/>
          <w:sz w:val="22"/>
          <w:szCs w:val="22"/>
        </w:rPr>
        <w:t xml:space="preserve">, que </w:t>
      </w:r>
      <w:r w:rsidRPr="00370068">
        <w:rPr>
          <w:rFonts w:ascii="Arial" w:hAnsi="Arial" w:cs="Arial"/>
          <w:i/>
          <w:iCs/>
          <w:color w:val="auto"/>
          <w:sz w:val="22"/>
          <w:szCs w:val="22"/>
        </w:rPr>
        <w:t xml:space="preserve">define objetivos y metas indicativas de eficiencia energética, acciones y medidas sectoriales y estrategias base para el cumplimiento de metas y se adoptan otras disposiciones al respecto </w:t>
      </w:r>
    </w:p>
    <w:p w14:paraId="1C54734C" w14:textId="77777777" w:rsidR="000E1537" w:rsidRPr="00370068" w:rsidRDefault="000E1537" w:rsidP="000E1537">
      <w:pPr>
        <w:pStyle w:val="Default"/>
        <w:spacing w:line="360" w:lineRule="auto"/>
        <w:jc w:val="center"/>
        <w:rPr>
          <w:rFonts w:ascii="Arial" w:hAnsi="Arial" w:cs="Arial"/>
          <w:color w:val="auto"/>
          <w:sz w:val="22"/>
          <w:szCs w:val="22"/>
        </w:rPr>
      </w:pPr>
    </w:p>
    <w:p w14:paraId="6ED7DC5C" w14:textId="77777777" w:rsidR="000E1537" w:rsidRPr="00370068" w:rsidRDefault="000E1537" w:rsidP="000E1537">
      <w:pPr>
        <w:rPr>
          <w:rFonts w:ascii="Arial" w:hAnsi="Arial" w:cs="Arial"/>
        </w:rPr>
      </w:pPr>
    </w:p>
    <w:p w14:paraId="6A2DA6A3" w14:textId="77777777" w:rsidR="000E1537" w:rsidRPr="00370068" w:rsidRDefault="000E1537" w:rsidP="000E1537">
      <w:pPr>
        <w:pStyle w:val="Default"/>
        <w:spacing w:line="360" w:lineRule="auto"/>
        <w:jc w:val="center"/>
        <w:rPr>
          <w:rFonts w:ascii="Arial" w:hAnsi="Arial" w:cs="Arial"/>
          <w:color w:val="auto"/>
          <w:sz w:val="22"/>
          <w:szCs w:val="22"/>
        </w:rPr>
      </w:pPr>
      <w:r w:rsidRPr="00370068">
        <w:rPr>
          <w:rFonts w:ascii="Arial" w:hAnsi="Arial" w:cs="Arial"/>
          <w:b/>
          <w:color w:val="auto"/>
          <w:sz w:val="22"/>
          <w:szCs w:val="22"/>
        </w:rPr>
        <w:t>EL MINISTRO DE MINAS Y ENERGÍA</w:t>
      </w:r>
      <w:r w:rsidRPr="00370068">
        <w:rPr>
          <w:rFonts w:ascii="Arial" w:hAnsi="Arial" w:cs="Arial"/>
          <w:color w:val="auto"/>
          <w:sz w:val="22"/>
          <w:szCs w:val="22"/>
        </w:rPr>
        <w:t xml:space="preserve"> </w:t>
      </w:r>
    </w:p>
    <w:p w14:paraId="745EA6BC" w14:textId="77777777" w:rsidR="000E1537" w:rsidRPr="00370068" w:rsidRDefault="000E1537" w:rsidP="00A92382">
      <w:pPr>
        <w:pStyle w:val="Default"/>
        <w:jc w:val="center"/>
        <w:rPr>
          <w:rFonts w:ascii="Arial" w:hAnsi="Arial" w:cs="Arial"/>
          <w:color w:val="auto"/>
          <w:sz w:val="22"/>
          <w:szCs w:val="22"/>
        </w:rPr>
      </w:pPr>
    </w:p>
    <w:p w14:paraId="6E2F6D3C" w14:textId="1CD75B9C" w:rsidR="000E1537" w:rsidRPr="00370068" w:rsidRDefault="000E1537" w:rsidP="00A92382">
      <w:pPr>
        <w:pStyle w:val="Default"/>
        <w:jc w:val="center"/>
        <w:rPr>
          <w:rFonts w:ascii="Arial" w:hAnsi="Arial" w:cs="Arial"/>
          <w:color w:val="auto"/>
          <w:sz w:val="22"/>
          <w:szCs w:val="22"/>
        </w:rPr>
      </w:pPr>
      <w:r w:rsidRPr="00370068">
        <w:rPr>
          <w:rFonts w:ascii="Arial" w:hAnsi="Arial" w:cs="Arial"/>
          <w:color w:val="auto"/>
          <w:sz w:val="22"/>
          <w:szCs w:val="22"/>
        </w:rPr>
        <w:t xml:space="preserve">En ejercicio de sus facultades legales y reglamentarias, </w:t>
      </w:r>
      <w:r w:rsidRPr="00370068">
        <w:rPr>
          <w:rFonts w:ascii="Arial" w:hAnsi="Arial" w:cs="Arial"/>
          <w:sz w:val="22"/>
          <w:szCs w:val="22"/>
        </w:rPr>
        <w:t xml:space="preserve">en especial las conferidas </w:t>
      </w:r>
      <w:r w:rsidRPr="00370068">
        <w:rPr>
          <w:rFonts w:ascii="Arial" w:hAnsi="Arial" w:cs="Arial"/>
          <w:color w:val="auto"/>
          <w:sz w:val="22"/>
          <w:szCs w:val="22"/>
        </w:rPr>
        <w:t xml:space="preserve">  en la Ley 697 de 2001, la Ley 1715 de 2014, el Decreto 381 de 2012, el Decreto Único Reglamentario del Sector Administrativo de Minas y Energía 1073 de 2015 y </w:t>
      </w:r>
    </w:p>
    <w:p w14:paraId="0D62C48C" w14:textId="77777777" w:rsidR="000E1537" w:rsidRPr="00370068" w:rsidRDefault="000E1537" w:rsidP="000E1537">
      <w:pPr>
        <w:pStyle w:val="Default"/>
        <w:spacing w:line="360" w:lineRule="auto"/>
        <w:jc w:val="center"/>
        <w:rPr>
          <w:rFonts w:ascii="Arial" w:hAnsi="Arial" w:cs="Arial"/>
          <w:color w:val="auto"/>
          <w:sz w:val="22"/>
          <w:szCs w:val="22"/>
        </w:rPr>
      </w:pPr>
    </w:p>
    <w:p w14:paraId="211ADFDD" w14:textId="77777777" w:rsidR="000E1537" w:rsidRPr="00370068" w:rsidRDefault="000E1537" w:rsidP="000E1537">
      <w:pPr>
        <w:pStyle w:val="Default"/>
        <w:spacing w:line="360" w:lineRule="auto"/>
        <w:jc w:val="center"/>
        <w:rPr>
          <w:rFonts w:ascii="Arial" w:hAnsi="Arial" w:cs="Arial"/>
          <w:color w:val="auto"/>
          <w:sz w:val="22"/>
          <w:szCs w:val="22"/>
        </w:rPr>
      </w:pPr>
      <w:r w:rsidRPr="00370068">
        <w:rPr>
          <w:rFonts w:ascii="Arial" w:hAnsi="Arial" w:cs="Arial"/>
          <w:b/>
          <w:color w:val="auto"/>
          <w:sz w:val="22"/>
          <w:szCs w:val="22"/>
        </w:rPr>
        <w:t>CONSIDERANDO</w:t>
      </w:r>
      <w:r w:rsidRPr="00370068">
        <w:rPr>
          <w:rFonts w:ascii="Arial" w:hAnsi="Arial" w:cs="Arial"/>
          <w:color w:val="auto"/>
          <w:sz w:val="22"/>
          <w:szCs w:val="22"/>
        </w:rPr>
        <w:t xml:space="preserve">: </w:t>
      </w:r>
    </w:p>
    <w:p w14:paraId="1F0AF32F" w14:textId="77777777" w:rsidR="000E1537" w:rsidRPr="00370068" w:rsidRDefault="000E1537" w:rsidP="000E1537">
      <w:pPr>
        <w:pStyle w:val="Default"/>
        <w:spacing w:line="360" w:lineRule="auto"/>
        <w:jc w:val="both"/>
        <w:rPr>
          <w:rFonts w:ascii="Arial" w:hAnsi="Arial" w:cs="Arial"/>
          <w:color w:val="auto"/>
          <w:sz w:val="22"/>
          <w:szCs w:val="22"/>
        </w:rPr>
      </w:pPr>
    </w:p>
    <w:p w14:paraId="02201A02" w14:textId="77777777" w:rsidR="000E1537" w:rsidRPr="00370068" w:rsidRDefault="000E1537" w:rsidP="00370068">
      <w:pPr>
        <w:pStyle w:val="Default"/>
        <w:jc w:val="both"/>
        <w:rPr>
          <w:rFonts w:ascii="Arial" w:hAnsi="Arial" w:cs="Arial"/>
          <w:color w:val="auto"/>
          <w:sz w:val="22"/>
          <w:szCs w:val="22"/>
          <w:lang w:val="es-ES"/>
        </w:rPr>
      </w:pPr>
      <w:r w:rsidRPr="00370068">
        <w:rPr>
          <w:rFonts w:ascii="Arial" w:hAnsi="Arial" w:cs="Arial"/>
          <w:color w:val="auto"/>
          <w:sz w:val="22"/>
          <w:szCs w:val="22"/>
          <w:lang w:val="es-ES"/>
        </w:rPr>
        <w:t xml:space="preserve">Que </w:t>
      </w:r>
      <w:smartTag w:uri="urn:schemas-microsoft-com:office:smarttags" w:element="PersonName">
        <w:smartTagPr>
          <w:attr w:name="ProductID" w:val="la Constituci￳n Pol￭tica"/>
        </w:smartTagPr>
        <w:r w:rsidRPr="00370068">
          <w:rPr>
            <w:rFonts w:ascii="Arial" w:hAnsi="Arial" w:cs="Arial"/>
            <w:color w:val="auto"/>
            <w:sz w:val="22"/>
            <w:szCs w:val="22"/>
            <w:lang w:val="es-ES"/>
          </w:rPr>
          <w:t>la Constitución Política</w:t>
        </w:r>
      </w:smartTag>
      <w:r w:rsidRPr="00370068">
        <w:rPr>
          <w:rFonts w:ascii="Arial" w:hAnsi="Arial" w:cs="Arial"/>
          <w:color w:val="auto"/>
          <w:sz w:val="22"/>
          <w:szCs w:val="22"/>
          <w:lang w:val="es-ES"/>
        </w:rPr>
        <w:t xml:space="preserve"> de Colombia en su artículo 80, establece que el Estado planificará el manejo y aprovechamiento de los recursos naturales, para garantizar su desarrollo sostenible, su conservación, restauración o sustitución. Además, dispone que deberá prevenir y controlar los factores de deterioro ambiental, imponer las sanciones legales y exigir la reparación de los daños causados.</w:t>
      </w:r>
    </w:p>
    <w:p w14:paraId="24928097" w14:textId="77777777" w:rsidR="000E1537" w:rsidRPr="00370068" w:rsidRDefault="000E1537" w:rsidP="00370068">
      <w:pPr>
        <w:pStyle w:val="Default"/>
        <w:jc w:val="both"/>
        <w:rPr>
          <w:rFonts w:ascii="Arial" w:hAnsi="Arial" w:cs="Arial"/>
          <w:color w:val="auto"/>
          <w:sz w:val="22"/>
          <w:szCs w:val="22"/>
          <w:lang w:val="es-ES"/>
        </w:rPr>
      </w:pPr>
    </w:p>
    <w:p w14:paraId="235BEDBC" w14:textId="77777777" w:rsidR="000E1537" w:rsidRPr="00370068" w:rsidRDefault="000E1537" w:rsidP="00370068">
      <w:pPr>
        <w:pStyle w:val="Default"/>
        <w:jc w:val="both"/>
        <w:rPr>
          <w:rFonts w:ascii="Arial" w:hAnsi="Arial" w:cs="Arial"/>
          <w:color w:val="auto"/>
          <w:sz w:val="22"/>
          <w:szCs w:val="22"/>
          <w:lang w:val="es-ES"/>
        </w:rPr>
      </w:pPr>
      <w:r w:rsidRPr="00370068">
        <w:rPr>
          <w:rFonts w:ascii="Arial" w:hAnsi="Arial" w:cs="Arial"/>
          <w:color w:val="auto"/>
          <w:sz w:val="22"/>
          <w:szCs w:val="22"/>
          <w:lang w:val="es-ES"/>
        </w:rPr>
        <w:t xml:space="preserve">Que en su artículo 334, </w:t>
      </w:r>
      <w:smartTag w:uri="urn:schemas-microsoft-com:office:smarttags" w:element="PersonName">
        <w:smartTagPr>
          <w:attr w:name="ProductID" w:val="la Constituci￳n"/>
        </w:smartTagPr>
        <w:r w:rsidRPr="00370068">
          <w:rPr>
            <w:rFonts w:ascii="Arial" w:hAnsi="Arial" w:cs="Arial"/>
            <w:color w:val="auto"/>
            <w:sz w:val="22"/>
            <w:szCs w:val="22"/>
            <w:lang w:val="es-ES"/>
          </w:rPr>
          <w:t>la Constitución</w:t>
        </w:r>
      </w:smartTag>
      <w:r w:rsidRPr="00370068">
        <w:rPr>
          <w:rFonts w:ascii="Arial" w:hAnsi="Arial" w:cs="Arial"/>
          <w:color w:val="auto"/>
          <w:sz w:val="22"/>
          <w:szCs w:val="22"/>
          <w:lang w:val="es-ES"/>
        </w:rPr>
        <w:t xml:space="preserve"> prevé igualmente que la dirección general de la economía estará a cargo del Estado y éste intervendrá por mandato de la ley en la explotación de los recursos naturales.</w:t>
      </w:r>
    </w:p>
    <w:p w14:paraId="18BC1DB7" w14:textId="77777777" w:rsidR="000E1537" w:rsidRPr="00370068" w:rsidRDefault="000E1537" w:rsidP="00370068">
      <w:pPr>
        <w:pStyle w:val="Default"/>
        <w:jc w:val="both"/>
        <w:rPr>
          <w:rFonts w:ascii="Arial" w:hAnsi="Arial" w:cs="Arial"/>
          <w:color w:val="auto"/>
          <w:sz w:val="22"/>
          <w:szCs w:val="22"/>
          <w:lang w:val="es-ES"/>
        </w:rPr>
      </w:pPr>
    </w:p>
    <w:p w14:paraId="03CCB5D9" w14:textId="77777777" w:rsidR="000E1537" w:rsidRPr="00370068" w:rsidRDefault="000E1537" w:rsidP="00370068">
      <w:pPr>
        <w:pStyle w:val="Default"/>
        <w:jc w:val="both"/>
        <w:rPr>
          <w:rFonts w:ascii="Arial" w:hAnsi="Arial" w:cs="Arial"/>
          <w:color w:val="auto"/>
          <w:sz w:val="22"/>
        </w:rPr>
      </w:pPr>
      <w:r w:rsidRPr="00370068">
        <w:rPr>
          <w:rFonts w:ascii="Arial" w:hAnsi="Arial" w:cs="Arial"/>
          <w:color w:val="auto"/>
          <w:sz w:val="22"/>
        </w:rPr>
        <w:t>Que en aplicación de lo anterior, artículo 1 de la Ley 697 de 2001, declaró “</w:t>
      </w:r>
      <w:r w:rsidRPr="00370068">
        <w:rPr>
          <w:rFonts w:ascii="Arial" w:hAnsi="Arial" w:cs="Arial"/>
          <w:i/>
          <w:color w:val="auto"/>
          <w:sz w:val="22"/>
        </w:rPr>
        <w:t>el Uso Racional y Eficiente de la Energía (</w:t>
      </w:r>
      <w:r w:rsidRPr="00370068">
        <w:rPr>
          <w:rFonts w:ascii="Arial" w:hAnsi="Arial" w:cs="Arial"/>
          <w:b/>
          <w:bCs/>
          <w:i/>
          <w:color w:val="auto"/>
          <w:sz w:val="22"/>
        </w:rPr>
        <w:t>URE</w:t>
      </w:r>
      <w:r w:rsidRPr="00370068">
        <w:rPr>
          <w:rFonts w:ascii="Arial" w:hAnsi="Arial" w:cs="Arial"/>
          <w:i/>
          <w:color w:val="auto"/>
          <w:sz w:val="22"/>
        </w:rPr>
        <w:t>) como un asunto de interés social, público y de conveniencia nacional, fundamental para asegurar el abastecimiento energético pleno y oportuno, la competitividad de la economía colombiana, la protección al consumidor y la promoción del uso de energías no convencionales de manera sostenible con el medio ambiente y los recursos naturales.”</w:t>
      </w:r>
    </w:p>
    <w:p w14:paraId="5F68FA6E" w14:textId="77777777" w:rsidR="000E1537" w:rsidRPr="00370068" w:rsidRDefault="000E1537" w:rsidP="00370068">
      <w:pPr>
        <w:pStyle w:val="Default"/>
        <w:jc w:val="both"/>
        <w:rPr>
          <w:rFonts w:ascii="Arial" w:hAnsi="Arial" w:cs="Arial"/>
          <w:color w:val="auto"/>
          <w:sz w:val="22"/>
          <w:lang w:val="es-ES"/>
        </w:rPr>
      </w:pPr>
    </w:p>
    <w:p w14:paraId="595C3B6E" w14:textId="77777777" w:rsidR="000E1537" w:rsidRPr="00370068" w:rsidRDefault="000E1537" w:rsidP="00370068">
      <w:pPr>
        <w:pStyle w:val="Default"/>
        <w:jc w:val="both"/>
        <w:rPr>
          <w:rFonts w:ascii="Arial" w:hAnsi="Arial" w:cs="Arial"/>
          <w:color w:val="auto"/>
          <w:sz w:val="22"/>
        </w:rPr>
      </w:pPr>
      <w:r w:rsidRPr="00370068">
        <w:rPr>
          <w:rFonts w:ascii="Arial" w:hAnsi="Arial" w:cs="Arial"/>
          <w:color w:val="auto"/>
          <w:sz w:val="22"/>
        </w:rPr>
        <w:t>Que el artículo 4 de la precitada Ley, designó al Ministerio de Minas y Energía como la entidad responsable para la promoción, organización y aseguramiento del desarrollo y seguimiento de los programas de uso racional y eficiente de la energía.</w:t>
      </w:r>
    </w:p>
    <w:p w14:paraId="4260D343" w14:textId="77777777" w:rsidR="000E1537" w:rsidRPr="00370068" w:rsidRDefault="000E1537" w:rsidP="00370068">
      <w:pPr>
        <w:pStyle w:val="Default"/>
        <w:jc w:val="both"/>
        <w:rPr>
          <w:rFonts w:ascii="Arial" w:hAnsi="Arial" w:cs="Arial"/>
          <w:color w:val="auto"/>
          <w:sz w:val="22"/>
        </w:rPr>
      </w:pPr>
    </w:p>
    <w:p w14:paraId="17958530" w14:textId="77777777" w:rsidR="000E1537" w:rsidRPr="00370068" w:rsidRDefault="000E1537" w:rsidP="00370068">
      <w:pPr>
        <w:pStyle w:val="Default"/>
        <w:jc w:val="both"/>
        <w:rPr>
          <w:rFonts w:ascii="Arial" w:hAnsi="Arial" w:cs="Arial"/>
          <w:color w:val="auto"/>
          <w:sz w:val="22"/>
        </w:rPr>
      </w:pPr>
      <w:r w:rsidRPr="00370068">
        <w:rPr>
          <w:rFonts w:ascii="Arial" w:hAnsi="Arial" w:cs="Arial"/>
          <w:color w:val="auto"/>
          <w:sz w:val="22"/>
        </w:rPr>
        <w:t xml:space="preserve">Que así mismo el artículo 5 de la citada Ley, creó el Programa de Uso Racional y Eficiente de la Energía y demás Formas de Energía No Convencionales, PROURE, cuyo objeto es aplicar gradualmente subprogramas y acciones para que toda la cadena energética esté cumpliendo permanentemente con los niveles mínimos de eficiencia </w:t>
      </w:r>
      <w:r w:rsidRPr="00370068">
        <w:rPr>
          <w:rFonts w:ascii="Arial" w:hAnsi="Arial" w:cs="Arial"/>
          <w:color w:val="auto"/>
          <w:sz w:val="22"/>
        </w:rPr>
        <w:lastRenderedPageBreak/>
        <w:t>energética, sin perjuicio de lo dispuesto en la normatividad vigente sobre medio ambiente y los recursos naturales renovables.</w:t>
      </w:r>
    </w:p>
    <w:p w14:paraId="5E233FBA" w14:textId="77777777" w:rsidR="000E1537" w:rsidRPr="00370068" w:rsidRDefault="000E1537" w:rsidP="00370068">
      <w:pPr>
        <w:pStyle w:val="Default"/>
        <w:jc w:val="both"/>
        <w:rPr>
          <w:rFonts w:ascii="Arial" w:hAnsi="Arial" w:cs="Arial"/>
          <w:color w:val="auto"/>
          <w:sz w:val="22"/>
        </w:rPr>
      </w:pPr>
    </w:p>
    <w:p w14:paraId="0950B2BE" w14:textId="6A44A33E" w:rsidR="000E1537" w:rsidRPr="00370068" w:rsidRDefault="000E1537" w:rsidP="00370068">
      <w:pPr>
        <w:pStyle w:val="Default"/>
        <w:jc w:val="both"/>
        <w:rPr>
          <w:rFonts w:ascii="Arial" w:hAnsi="Arial" w:cs="Arial"/>
          <w:color w:val="auto"/>
          <w:sz w:val="22"/>
        </w:rPr>
      </w:pPr>
      <w:r w:rsidRPr="00370068">
        <w:rPr>
          <w:rFonts w:ascii="Arial" w:hAnsi="Arial" w:cs="Arial"/>
          <w:color w:val="auto"/>
          <w:sz w:val="22"/>
        </w:rPr>
        <w:t>Que en desarrollo de lo anterior, el Gobierno Nacional</w:t>
      </w:r>
      <w:r w:rsidR="00370068">
        <w:rPr>
          <w:rFonts w:ascii="Arial" w:hAnsi="Arial" w:cs="Arial"/>
          <w:color w:val="auto"/>
          <w:sz w:val="22"/>
        </w:rPr>
        <w:t xml:space="preserve"> expidió </w:t>
      </w:r>
      <w:r w:rsidRPr="00370068">
        <w:rPr>
          <w:rFonts w:ascii="Arial" w:hAnsi="Arial" w:cs="Arial"/>
          <w:color w:val="auto"/>
          <w:sz w:val="22"/>
        </w:rPr>
        <w:t xml:space="preserve">los Decretos 3683 de 2003, 139 de 2005 y 2501 de 2007, </w:t>
      </w:r>
      <w:r w:rsidR="00370068">
        <w:rPr>
          <w:rFonts w:ascii="Arial" w:hAnsi="Arial" w:cs="Arial"/>
          <w:color w:val="auto"/>
          <w:sz w:val="22"/>
        </w:rPr>
        <w:t xml:space="preserve">por medio de los cuales se </w:t>
      </w:r>
      <w:r w:rsidR="00370068" w:rsidRPr="00370068">
        <w:rPr>
          <w:rFonts w:ascii="Arial" w:hAnsi="Arial" w:cs="Arial"/>
          <w:color w:val="auto"/>
          <w:sz w:val="22"/>
        </w:rPr>
        <w:t>reglamentó la Ley 697 de 2001</w:t>
      </w:r>
      <w:r w:rsidR="00370068">
        <w:rPr>
          <w:rFonts w:ascii="Arial" w:hAnsi="Arial" w:cs="Arial"/>
          <w:color w:val="auto"/>
          <w:sz w:val="22"/>
        </w:rPr>
        <w:t xml:space="preserve">, Decretos </w:t>
      </w:r>
      <w:r w:rsidRPr="00370068">
        <w:rPr>
          <w:rFonts w:ascii="Arial" w:hAnsi="Arial" w:cs="Arial"/>
          <w:color w:val="auto"/>
          <w:sz w:val="22"/>
        </w:rPr>
        <w:t>hoy compilados en el Decreto Único Reglamentario del Sector Administrativo de Minas y Energía, 1073 de 2015.</w:t>
      </w:r>
    </w:p>
    <w:p w14:paraId="77E5D346" w14:textId="77777777" w:rsidR="000E1537" w:rsidRPr="00370068" w:rsidRDefault="000E1537" w:rsidP="00370068">
      <w:pPr>
        <w:pStyle w:val="Default"/>
        <w:jc w:val="both"/>
        <w:rPr>
          <w:rFonts w:ascii="Arial" w:hAnsi="Arial" w:cs="Arial"/>
          <w:color w:val="auto"/>
          <w:sz w:val="22"/>
        </w:rPr>
      </w:pPr>
    </w:p>
    <w:p w14:paraId="46E723BC" w14:textId="77777777" w:rsidR="000E1537" w:rsidRPr="00370068" w:rsidRDefault="000E1537" w:rsidP="00370068">
      <w:pPr>
        <w:pStyle w:val="Default"/>
        <w:jc w:val="both"/>
        <w:rPr>
          <w:rFonts w:ascii="Arial" w:hAnsi="Arial" w:cs="Arial"/>
          <w:color w:val="auto"/>
          <w:sz w:val="22"/>
        </w:rPr>
      </w:pPr>
      <w:r w:rsidRPr="00370068">
        <w:rPr>
          <w:rFonts w:ascii="Arial" w:hAnsi="Arial" w:cs="Arial"/>
          <w:color w:val="auto"/>
          <w:sz w:val="22"/>
        </w:rPr>
        <w:t>Que de conformidad con el artículo 2 del Decreto 381 de 2012, el Ministerio de Minas y Energía tiene, entre otras, las funciones de (i) formular, adoptar, dirigir y coordinar la política en materia de uso racional de energía y el desarrollo de fuentes alternas de energía y promover, organizar y asegurar el desarrollo de los programas de uso racional y eficiente de energía; y (ii) formular, adoptar, dirigir y coordinar la política sobre las actividades relacionadas con el aprovechamiento integral de los recursos naturales no renovables y de la totalidad de las fuentes energéticas del país.</w:t>
      </w:r>
    </w:p>
    <w:p w14:paraId="2C52AE27" w14:textId="77777777" w:rsidR="000E1537" w:rsidRPr="00370068" w:rsidRDefault="000E1537" w:rsidP="00370068">
      <w:pPr>
        <w:pStyle w:val="Default"/>
        <w:jc w:val="both"/>
        <w:rPr>
          <w:rFonts w:ascii="Arial" w:hAnsi="Arial" w:cs="Arial"/>
          <w:color w:val="auto"/>
          <w:sz w:val="22"/>
        </w:rPr>
      </w:pPr>
    </w:p>
    <w:p w14:paraId="7AEFD340" w14:textId="77777777" w:rsidR="000E1537" w:rsidRPr="00370068" w:rsidRDefault="000E1537" w:rsidP="00370068">
      <w:pPr>
        <w:pStyle w:val="Default"/>
        <w:jc w:val="both"/>
        <w:rPr>
          <w:rFonts w:ascii="Arial" w:hAnsi="Arial" w:cs="Arial"/>
          <w:color w:val="auto"/>
          <w:sz w:val="22"/>
        </w:rPr>
      </w:pPr>
      <w:r w:rsidRPr="00370068">
        <w:rPr>
          <w:rFonts w:ascii="Arial" w:hAnsi="Arial" w:cs="Arial"/>
          <w:color w:val="auto"/>
          <w:sz w:val="22"/>
        </w:rPr>
        <w:t>Que el numeral 10 del artículo 4 del Decreto 1258 de 2013, establece que corresponde a la Unidad de Planeación Minero Energética – UPME, f</w:t>
      </w:r>
      <w:r w:rsidRPr="00370068">
        <w:rPr>
          <w:rFonts w:ascii="Arial" w:hAnsi="Arial" w:cs="Arial"/>
          <w:color w:val="auto"/>
          <w:sz w:val="23"/>
          <w:szCs w:val="23"/>
        </w:rPr>
        <w:t>omentar, diseñar y establecer los planes, programas y. proyectos, relacionados con el uso eficiente, ahorro y conservación de la energía en todos los campos de la actividad económica y adelantar las labores de difusión necesarias.</w:t>
      </w:r>
    </w:p>
    <w:p w14:paraId="5D882A38" w14:textId="77777777" w:rsidR="000E1537" w:rsidRPr="00370068" w:rsidRDefault="000E1537" w:rsidP="00370068">
      <w:pPr>
        <w:pStyle w:val="Default"/>
        <w:jc w:val="both"/>
        <w:rPr>
          <w:rFonts w:ascii="Arial" w:hAnsi="Arial" w:cs="Arial"/>
          <w:color w:val="auto"/>
          <w:sz w:val="22"/>
        </w:rPr>
      </w:pPr>
    </w:p>
    <w:p w14:paraId="4BC89CCE" w14:textId="77777777" w:rsidR="000E1537" w:rsidRPr="00370068" w:rsidRDefault="000E1537" w:rsidP="00370068">
      <w:pPr>
        <w:pStyle w:val="Default"/>
        <w:jc w:val="both"/>
        <w:rPr>
          <w:rFonts w:ascii="Arial" w:hAnsi="Arial" w:cs="Arial"/>
          <w:color w:val="auto"/>
          <w:sz w:val="22"/>
        </w:rPr>
      </w:pPr>
      <w:r w:rsidRPr="00370068">
        <w:rPr>
          <w:rFonts w:ascii="Arial" w:hAnsi="Arial" w:cs="Arial"/>
          <w:color w:val="auto"/>
          <w:sz w:val="22"/>
        </w:rPr>
        <w:t xml:space="preserve">Que adicionalmente, el numeral 20 del mismo artículo, establece que corresponde a la Unidad de Planeación Minero Energética – UPME </w:t>
      </w:r>
      <w:r w:rsidRPr="00370068">
        <w:rPr>
          <w:rFonts w:ascii="Arial" w:hAnsi="Arial" w:cs="Arial"/>
          <w:i/>
          <w:color w:val="auto"/>
          <w:sz w:val="22"/>
        </w:rPr>
        <w:t>“emitir concepto sobre la viabilidad de aplicar incentivos para eficiencia energética y fuentes no convencionales, de conformidad con la delegación efectuada por el Ministerio de Minas y Energía.”</w:t>
      </w:r>
    </w:p>
    <w:p w14:paraId="6A346B57" w14:textId="77777777" w:rsidR="000E1537" w:rsidRPr="00370068" w:rsidRDefault="000E1537" w:rsidP="00370068">
      <w:pPr>
        <w:pStyle w:val="Default"/>
        <w:jc w:val="both"/>
        <w:rPr>
          <w:rFonts w:ascii="Arial" w:hAnsi="Arial" w:cs="Arial"/>
          <w:color w:val="auto"/>
          <w:sz w:val="22"/>
        </w:rPr>
      </w:pPr>
    </w:p>
    <w:p w14:paraId="7806E702" w14:textId="77777777" w:rsidR="000E1537" w:rsidRPr="00370068" w:rsidRDefault="000E1537" w:rsidP="00370068">
      <w:pPr>
        <w:pStyle w:val="Default"/>
        <w:jc w:val="both"/>
        <w:rPr>
          <w:rFonts w:ascii="Arial" w:hAnsi="Arial" w:cs="Arial"/>
          <w:color w:val="auto"/>
          <w:sz w:val="22"/>
        </w:rPr>
      </w:pPr>
      <w:r w:rsidRPr="00370068">
        <w:rPr>
          <w:rFonts w:ascii="Arial" w:hAnsi="Arial" w:cs="Arial"/>
          <w:color w:val="auto"/>
          <w:sz w:val="22"/>
        </w:rPr>
        <w:t xml:space="preserve">Que con el fin de desarrollar el PROURE, el Ministerio de Minas y Energía expidió la Resolución 180919 de 2010 mediante la cual adoptó el Plan de Acción Indicativo 2010 – 2015 con visión 2020 que contiene los objetivos, subprogramas y metas del ya mencionado Programa. </w:t>
      </w:r>
    </w:p>
    <w:p w14:paraId="3BD921FA" w14:textId="77777777" w:rsidR="000E1537" w:rsidRPr="00370068" w:rsidRDefault="000E1537" w:rsidP="00370068">
      <w:pPr>
        <w:pStyle w:val="Default"/>
        <w:jc w:val="both"/>
        <w:rPr>
          <w:rFonts w:ascii="Arial" w:hAnsi="Arial" w:cs="Arial"/>
          <w:color w:val="auto"/>
          <w:sz w:val="22"/>
        </w:rPr>
      </w:pPr>
    </w:p>
    <w:p w14:paraId="13F93D2E" w14:textId="77777777" w:rsidR="000E1537" w:rsidRPr="00370068" w:rsidRDefault="000E1537" w:rsidP="00370068">
      <w:pPr>
        <w:pStyle w:val="Default"/>
        <w:jc w:val="both"/>
        <w:rPr>
          <w:rFonts w:ascii="Arial" w:hAnsi="Arial" w:cs="Arial"/>
          <w:color w:val="auto"/>
          <w:sz w:val="22"/>
        </w:rPr>
      </w:pPr>
      <w:r w:rsidRPr="00370068">
        <w:rPr>
          <w:rFonts w:ascii="Arial" w:hAnsi="Arial" w:cs="Arial"/>
          <w:color w:val="auto"/>
          <w:sz w:val="22"/>
        </w:rPr>
        <w:t>Que la ley 1715 de 2014 regula la integración de las energías renovables al sistema energético nacional e igualmente contiene aspectos relacionados con  eficiencia energética y respuesta de la demanda, así como incentivos tributarios que permitieran maximizar los beneficios para el país por la ejecución de este tipo de proyectos y programas.</w:t>
      </w:r>
    </w:p>
    <w:p w14:paraId="5BACBA84" w14:textId="77777777" w:rsidR="000E1537" w:rsidRPr="00370068" w:rsidRDefault="000E1537" w:rsidP="00370068">
      <w:pPr>
        <w:pStyle w:val="Default"/>
        <w:jc w:val="both"/>
        <w:rPr>
          <w:rFonts w:ascii="Arial" w:hAnsi="Arial" w:cs="Arial"/>
          <w:color w:val="auto"/>
          <w:sz w:val="22"/>
        </w:rPr>
      </w:pPr>
    </w:p>
    <w:p w14:paraId="0C7C4B9F" w14:textId="663763AD" w:rsidR="000E1537" w:rsidRPr="00370068" w:rsidRDefault="000E1537" w:rsidP="00370068">
      <w:pPr>
        <w:pStyle w:val="Default"/>
        <w:jc w:val="both"/>
        <w:rPr>
          <w:rFonts w:ascii="Arial" w:hAnsi="Arial" w:cs="Arial"/>
          <w:color w:val="auto"/>
          <w:sz w:val="22"/>
        </w:rPr>
      </w:pPr>
      <w:r w:rsidRPr="00370068">
        <w:rPr>
          <w:rFonts w:ascii="Arial" w:hAnsi="Arial" w:cs="Arial"/>
          <w:color w:val="auto"/>
          <w:sz w:val="22"/>
        </w:rPr>
        <w:t xml:space="preserve">Que en ese sentido, los artículos 26, 27 y 28 de la ley 1715 de 2014, redefinieron la promoción de la eficiencia energética, estableciendo el objeto, finalidad y contenido del Plan de Acción de Indicativo del PROURE, e indicando  que el mismo es el instrumento que el Gobierno utilizará para promocionar la eficiencia energética. </w:t>
      </w:r>
    </w:p>
    <w:p w14:paraId="176DDB4C" w14:textId="77777777" w:rsidR="000E1537" w:rsidRPr="00370068" w:rsidRDefault="000E1537" w:rsidP="00370068">
      <w:pPr>
        <w:pStyle w:val="Default"/>
        <w:jc w:val="both"/>
        <w:rPr>
          <w:rFonts w:ascii="Arial" w:hAnsi="Arial" w:cs="Arial"/>
          <w:color w:val="auto"/>
          <w:sz w:val="22"/>
        </w:rPr>
      </w:pPr>
    </w:p>
    <w:p w14:paraId="6C829F7D" w14:textId="77777777" w:rsidR="000E1537" w:rsidRPr="00370068" w:rsidRDefault="000E1537" w:rsidP="00370068">
      <w:pPr>
        <w:pStyle w:val="Default"/>
        <w:jc w:val="both"/>
        <w:rPr>
          <w:rFonts w:ascii="Arial" w:hAnsi="Arial" w:cs="Arial"/>
          <w:color w:val="auto"/>
          <w:sz w:val="22"/>
          <w:szCs w:val="22"/>
        </w:rPr>
      </w:pPr>
      <w:r w:rsidRPr="00370068">
        <w:rPr>
          <w:rFonts w:ascii="Arial" w:hAnsi="Arial" w:cs="Arial"/>
          <w:color w:val="auto"/>
          <w:sz w:val="22"/>
        </w:rPr>
        <w:t xml:space="preserve">Que con el propósito de incluir los lineamientos en materia de eficiencia energética e incentivos dispuestos por la Ley 1715 de 2014, el Ministerio de Minas y Energía mediante las </w:t>
      </w:r>
      <w:r w:rsidRPr="00370068">
        <w:rPr>
          <w:rFonts w:ascii="Arial" w:hAnsi="Arial" w:cs="Arial"/>
          <w:iCs/>
          <w:color w:val="auto"/>
          <w:sz w:val="22"/>
        </w:rPr>
        <w:t xml:space="preserve">Resoluciones 4 1430 de 2015 </w:t>
      </w:r>
      <w:r w:rsidRPr="00370068">
        <w:rPr>
          <w:rFonts w:ascii="Arial" w:hAnsi="Arial" w:cs="Arial"/>
          <w:color w:val="auto"/>
          <w:sz w:val="22"/>
        </w:rPr>
        <w:t xml:space="preserve">y 4 0634 de 2016, </w:t>
      </w:r>
      <w:r w:rsidRPr="00370068">
        <w:rPr>
          <w:rFonts w:ascii="Arial" w:hAnsi="Arial" w:cs="Arial"/>
          <w:iCs/>
          <w:color w:val="auto"/>
          <w:sz w:val="22"/>
        </w:rPr>
        <w:t>p</w:t>
      </w:r>
      <w:r w:rsidRPr="00370068">
        <w:rPr>
          <w:rFonts w:ascii="Arial" w:hAnsi="Arial" w:cs="Arial"/>
          <w:color w:val="auto"/>
          <w:sz w:val="22"/>
        </w:rPr>
        <w:t>rorrogó la vigencia del Plan de Acción Indicativo 2010-2015</w:t>
      </w:r>
      <w:r w:rsidRPr="00370068">
        <w:rPr>
          <w:rFonts w:ascii="Arial" w:hAnsi="Arial" w:cs="Arial"/>
          <w:iCs/>
          <w:color w:val="auto"/>
          <w:sz w:val="22"/>
        </w:rPr>
        <w:t xml:space="preserve">, </w:t>
      </w:r>
      <w:r w:rsidRPr="00370068">
        <w:rPr>
          <w:rFonts w:ascii="Arial" w:hAnsi="Arial" w:cs="Arial"/>
          <w:color w:val="auto"/>
          <w:sz w:val="22"/>
        </w:rPr>
        <w:t>hasta el 31 de diciembre de 2016.</w:t>
      </w:r>
    </w:p>
    <w:p w14:paraId="6A2D770B" w14:textId="77777777" w:rsidR="000E1537" w:rsidRPr="00370068" w:rsidRDefault="000E1537" w:rsidP="00370068">
      <w:pPr>
        <w:pStyle w:val="Default"/>
        <w:jc w:val="both"/>
        <w:rPr>
          <w:rFonts w:ascii="Arial" w:hAnsi="Arial" w:cs="Arial"/>
          <w:color w:val="auto"/>
          <w:sz w:val="22"/>
        </w:rPr>
      </w:pPr>
    </w:p>
    <w:p w14:paraId="6D3CCBEB" w14:textId="77777777" w:rsidR="000E1537" w:rsidRPr="00370068" w:rsidRDefault="000E1537" w:rsidP="00370068">
      <w:pPr>
        <w:pStyle w:val="Default"/>
        <w:jc w:val="both"/>
        <w:rPr>
          <w:rFonts w:ascii="Arial" w:hAnsi="Arial" w:cs="Arial"/>
          <w:color w:val="auto"/>
          <w:sz w:val="22"/>
          <w:szCs w:val="22"/>
        </w:rPr>
      </w:pPr>
      <w:r w:rsidRPr="00370068">
        <w:rPr>
          <w:rFonts w:ascii="Arial" w:hAnsi="Arial" w:cs="Arial"/>
          <w:color w:val="auto"/>
          <w:sz w:val="22"/>
          <w:szCs w:val="22"/>
        </w:rPr>
        <w:t xml:space="preserve">Que el Ministerio de Minas y Energía y la Unidad de Planeación Minero Energética - UPME socializaron el contenido del plan de acción indicativo para el desarrollo del PROURE, así como los estudios pertinentes que se realizaron para su elaboración. </w:t>
      </w:r>
    </w:p>
    <w:p w14:paraId="5067D7ED" w14:textId="77777777" w:rsidR="000E1537" w:rsidRPr="00370068" w:rsidRDefault="000E1537" w:rsidP="00370068">
      <w:pPr>
        <w:pStyle w:val="Default"/>
        <w:jc w:val="both"/>
        <w:rPr>
          <w:rFonts w:ascii="Arial" w:hAnsi="Arial" w:cs="Arial"/>
          <w:color w:val="auto"/>
          <w:sz w:val="22"/>
          <w:szCs w:val="22"/>
        </w:rPr>
      </w:pPr>
    </w:p>
    <w:p w14:paraId="3AD38C1E" w14:textId="77777777" w:rsidR="000E1537" w:rsidRPr="00370068" w:rsidRDefault="000E1537" w:rsidP="00370068">
      <w:pPr>
        <w:pStyle w:val="Default"/>
        <w:jc w:val="both"/>
        <w:rPr>
          <w:rFonts w:ascii="Arial" w:hAnsi="Arial" w:cs="Arial"/>
          <w:color w:val="auto"/>
          <w:sz w:val="22"/>
          <w:lang w:val="x-none"/>
        </w:rPr>
      </w:pPr>
      <w:r w:rsidRPr="00370068">
        <w:rPr>
          <w:rFonts w:ascii="Arial" w:hAnsi="Arial" w:cs="Arial"/>
          <w:color w:val="auto"/>
          <w:sz w:val="22"/>
        </w:rPr>
        <w:t xml:space="preserve">Que  en ese orden de ideas, el mencionado Plan de Acción indicativo—PAI— fue sometido a consulta pública del 11 de noviembre al 5 de diciembre de 2016, en las </w:t>
      </w:r>
      <w:r w:rsidRPr="00370068">
        <w:rPr>
          <w:rFonts w:ascii="Arial" w:hAnsi="Arial" w:cs="Arial"/>
          <w:color w:val="auto"/>
          <w:sz w:val="22"/>
        </w:rPr>
        <w:lastRenderedPageBreak/>
        <w:t xml:space="preserve">páginas web del Ministerio de Minas y Energía y la UPME, lo que permitió que en la estructuración y construcción del </w:t>
      </w:r>
      <w:r w:rsidRPr="00370068">
        <w:rPr>
          <w:rFonts w:ascii="Arial" w:hAnsi="Arial" w:cs="Arial"/>
          <w:i/>
          <w:color w:val="auto"/>
          <w:sz w:val="22"/>
        </w:rPr>
        <w:t>“Plan de Acción Indicativo, PAI, 2017 – 2022”</w:t>
      </w:r>
      <w:r w:rsidRPr="00370068">
        <w:rPr>
          <w:rFonts w:ascii="Arial" w:hAnsi="Arial" w:cs="Arial"/>
          <w:color w:val="auto"/>
          <w:sz w:val="22"/>
        </w:rPr>
        <w:t xml:space="preserve"> participaran entidades públicas y privadas del orden nacional y regional,  así como organizaciones y empresas del sector privado y de la academia, entre otras.</w:t>
      </w:r>
    </w:p>
    <w:p w14:paraId="60B33FC0" w14:textId="77777777" w:rsidR="000E1537" w:rsidRPr="00370068" w:rsidRDefault="000E1537" w:rsidP="00370068">
      <w:pPr>
        <w:pStyle w:val="Default"/>
        <w:jc w:val="both"/>
        <w:rPr>
          <w:rFonts w:ascii="Arial" w:hAnsi="Arial" w:cs="Arial"/>
          <w:color w:val="auto"/>
          <w:sz w:val="22"/>
        </w:rPr>
      </w:pPr>
    </w:p>
    <w:p w14:paraId="57A19552" w14:textId="77777777" w:rsidR="000E1537" w:rsidRPr="00370068" w:rsidRDefault="000E1537" w:rsidP="00370068">
      <w:pPr>
        <w:pStyle w:val="Default"/>
        <w:jc w:val="both"/>
        <w:rPr>
          <w:rFonts w:ascii="Arial" w:hAnsi="Arial" w:cs="Arial"/>
          <w:color w:val="auto"/>
          <w:sz w:val="22"/>
        </w:rPr>
      </w:pPr>
      <w:r w:rsidRPr="00370068">
        <w:rPr>
          <w:rFonts w:ascii="Arial" w:hAnsi="Arial" w:cs="Arial"/>
          <w:color w:val="auto"/>
          <w:sz w:val="22"/>
        </w:rPr>
        <w:t xml:space="preserve">Que se recibieron alrededor de 270 comentarios, sugerencias e inquietudes, los cuales fueron atendidos en su totalidad, incorporándose al documento propuesto los que resultaron pertinentes y ajustándose el período a los años 2017-2022. </w:t>
      </w:r>
    </w:p>
    <w:p w14:paraId="6CEA4C32" w14:textId="77777777" w:rsidR="000E1537" w:rsidRPr="00370068" w:rsidRDefault="000E1537" w:rsidP="00370068">
      <w:pPr>
        <w:pStyle w:val="Default"/>
        <w:jc w:val="both"/>
        <w:rPr>
          <w:rFonts w:ascii="Arial" w:hAnsi="Arial" w:cs="Arial"/>
          <w:color w:val="auto"/>
          <w:sz w:val="22"/>
          <w:szCs w:val="22"/>
        </w:rPr>
      </w:pPr>
    </w:p>
    <w:p w14:paraId="7379F918" w14:textId="41A9DBC2" w:rsidR="000E1537" w:rsidRPr="005237FC" w:rsidRDefault="000E1537" w:rsidP="00370068">
      <w:pPr>
        <w:pStyle w:val="Default"/>
        <w:jc w:val="both"/>
        <w:rPr>
          <w:rFonts w:ascii="Arial" w:hAnsi="Arial" w:cs="Arial"/>
          <w:color w:val="auto"/>
          <w:sz w:val="22"/>
          <w:szCs w:val="22"/>
        </w:rPr>
      </w:pPr>
      <w:r w:rsidRPr="00370068">
        <w:rPr>
          <w:rFonts w:ascii="Arial" w:hAnsi="Arial" w:cs="Arial"/>
          <w:color w:val="auto"/>
          <w:sz w:val="22"/>
          <w:szCs w:val="22"/>
        </w:rPr>
        <w:t xml:space="preserve">Que dicho plan de acción contiene igualmente los objetivos y metas indicativas de </w:t>
      </w:r>
      <w:r w:rsidRPr="005237FC">
        <w:rPr>
          <w:rFonts w:ascii="Arial" w:hAnsi="Arial" w:cs="Arial"/>
          <w:color w:val="auto"/>
          <w:sz w:val="22"/>
          <w:szCs w:val="22"/>
        </w:rPr>
        <w:t>eficiencia energética por sector, así como las acciones y medidas sectoriales y las estrategias y acciones base, para el cumplimiento de metas sectoriales</w:t>
      </w:r>
      <w:r w:rsidR="00370068" w:rsidRPr="005237FC">
        <w:rPr>
          <w:rFonts w:ascii="Arial" w:hAnsi="Arial" w:cs="Arial"/>
          <w:color w:val="auto"/>
          <w:sz w:val="22"/>
          <w:szCs w:val="22"/>
        </w:rPr>
        <w:t>,</w:t>
      </w:r>
      <w:r w:rsidRPr="005237FC">
        <w:rPr>
          <w:rFonts w:ascii="Arial" w:hAnsi="Arial" w:cs="Arial"/>
          <w:color w:val="auto"/>
          <w:sz w:val="22"/>
          <w:szCs w:val="22"/>
        </w:rPr>
        <w:t xml:space="preserve"> que a partir de la fecha deben regir para el PROURE. </w:t>
      </w:r>
    </w:p>
    <w:p w14:paraId="29561351" w14:textId="77777777" w:rsidR="000E1537" w:rsidRPr="005237FC" w:rsidRDefault="000E1537" w:rsidP="00370068">
      <w:pPr>
        <w:pStyle w:val="Default"/>
        <w:jc w:val="both"/>
        <w:rPr>
          <w:rFonts w:ascii="Arial" w:hAnsi="Arial" w:cs="Arial"/>
          <w:color w:val="auto"/>
          <w:sz w:val="22"/>
          <w:szCs w:val="22"/>
        </w:rPr>
      </w:pPr>
    </w:p>
    <w:p w14:paraId="662FDF2B" w14:textId="77777777" w:rsidR="000E1537" w:rsidRPr="005237FC" w:rsidRDefault="000E1537" w:rsidP="00370068">
      <w:pPr>
        <w:pStyle w:val="Default"/>
        <w:jc w:val="both"/>
        <w:rPr>
          <w:rFonts w:ascii="Arial" w:hAnsi="Arial" w:cs="Arial"/>
          <w:color w:val="auto"/>
          <w:sz w:val="22"/>
          <w:szCs w:val="22"/>
        </w:rPr>
      </w:pPr>
      <w:r w:rsidRPr="005237FC">
        <w:rPr>
          <w:rFonts w:ascii="Arial" w:hAnsi="Arial" w:cs="Arial"/>
          <w:color w:val="auto"/>
          <w:sz w:val="22"/>
          <w:szCs w:val="22"/>
        </w:rPr>
        <w:t xml:space="preserve">Que las acciones y medidas tanto sectoriales como las base, contempladas en el PAI del PROURE 2017-2022 propuesto, buscan actualizar y unificar criterios para la ejecución de programas y proyectos para el desarrollo y promoción de la eficiencia energética para facilitar, entre otros, el acceso a incentivos nacionales e internacionales existentes en la materia. </w:t>
      </w:r>
    </w:p>
    <w:p w14:paraId="55915F2B" w14:textId="77777777" w:rsidR="000E1537" w:rsidRPr="005237FC" w:rsidRDefault="000E1537" w:rsidP="00370068">
      <w:pPr>
        <w:pStyle w:val="Default"/>
        <w:jc w:val="both"/>
        <w:rPr>
          <w:rFonts w:ascii="Arial" w:hAnsi="Arial" w:cs="Arial"/>
          <w:color w:val="auto"/>
          <w:sz w:val="22"/>
          <w:szCs w:val="22"/>
        </w:rPr>
      </w:pPr>
    </w:p>
    <w:p w14:paraId="44FCD9B3" w14:textId="028E557A" w:rsidR="000E1537" w:rsidRPr="005237FC" w:rsidRDefault="000E1537" w:rsidP="00370068">
      <w:pPr>
        <w:pStyle w:val="Default"/>
        <w:jc w:val="both"/>
        <w:rPr>
          <w:rFonts w:ascii="Arial" w:hAnsi="Arial" w:cs="Arial"/>
          <w:color w:val="auto"/>
          <w:sz w:val="22"/>
          <w:szCs w:val="22"/>
        </w:rPr>
      </w:pPr>
      <w:r w:rsidRPr="005237FC">
        <w:rPr>
          <w:rFonts w:ascii="Arial" w:hAnsi="Arial" w:cs="Arial"/>
          <w:color w:val="auto"/>
          <w:sz w:val="22"/>
          <w:szCs w:val="22"/>
        </w:rPr>
        <w:t xml:space="preserve">Que la eficiencia energética es una de las estrategias más </w:t>
      </w:r>
      <w:r w:rsidR="00370068" w:rsidRPr="005237FC">
        <w:rPr>
          <w:rFonts w:ascii="Arial" w:hAnsi="Arial" w:cs="Arial"/>
          <w:color w:val="auto"/>
          <w:sz w:val="22"/>
          <w:szCs w:val="22"/>
        </w:rPr>
        <w:t>“</w:t>
      </w:r>
      <w:r w:rsidRPr="005237FC">
        <w:rPr>
          <w:rFonts w:ascii="Arial" w:hAnsi="Arial" w:cs="Arial"/>
          <w:color w:val="auto"/>
          <w:sz w:val="22"/>
          <w:szCs w:val="22"/>
        </w:rPr>
        <w:t>costo efectivas</w:t>
      </w:r>
      <w:r w:rsidR="00370068" w:rsidRPr="005237FC">
        <w:rPr>
          <w:rFonts w:ascii="Arial" w:hAnsi="Arial" w:cs="Arial"/>
          <w:color w:val="auto"/>
          <w:sz w:val="22"/>
          <w:szCs w:val="22"/>
        </w:rPr>
        <w:t>”</w:t>
      </w:r>
      <w:r w:rsidRPr="005237FC">
        <w:rPr>
          <w:rFonts w:ascii="Arial" w:hAnsi="Arial" w:cs="Arial"/>
          <w:color w:val="auto"/>
          <w:sz w:val="22"/>
          <w:szCs w:val="22"/>
        </w:rPr>
        <w:t xml:space="preserve"> para la mitigación de los efectos del cambio climático, además de promover la productividad y competitividad de los sectores.</w:t>
      </w:r>
    </w:p>
    <w:p w14:paraId="33388324" w14:textId="77777777" w:rsidR="000E1537" w:rsidRPr="005237FC" w:rsidRDefault="000E1537" w:rsidP="00370068">
      <w:pPr>
        <w:pStyle w:val="Default"/>
        <w:jc w:val="both"/>
        <w:rPr>
          <w:rFonts w:ascii="Arial" w:hAnsi="Arial" w:cs="Arial"/>
          <w:color w:val="auto"/>
          <w:sz w:val="22"/>
          <w:szCs w:val="22"/>
        </w:rPr>
      </w:pPr>
    </w:p>
    <w:p w14:paraId="1A0BD120" w14:textId="77777777" w:rsidR="000E1537" w:rsidRPr="00370068" w:rsidRDefault="000E1537" w:rsidP="00370068">
      <w:pPr>
        <w:pStyle w:val="Default"/>
        <w:jc w:val="both"/>
        <w:rPr>
          <w:rFonts w:ascii="Arial" w:hAnsi="Arial" w:cs="Arial"/>
          <w:color w:val="auto"/>
          <w:sz w:val="22"/>
          <w:szCs w:val="22"/>
        </w:rPr>
      </w:pPr>
      <w:r w:rsidRPr="005237FC">
        <w:rPr>
          <w:rFonts w:ascii="Arial" w:hAnsi="Arial" w:cs="Arial"/>
          <w:color w:val="auto"/>
          <w:sz w:val="22"/>
          <w:szCs w:val="22"/>
        </w:rPr>
        <w:t>Que entre los incentivos nacionales a los cuales pueden optar los proyectos</w:t>
      </w:r>
      <w:r w:rsidRPr="00370068">
        <w:rPr>
          <w:rFonts w:ascii="Arial" w:hAnsi="Arial" w:cs="Arial"/>
          <w:color w:val="auto"/>
          <w:sz w:val="22"/>
          <w:szCs w:val="22"/>
        </w:rPr>
        <w:t xml:space="preserve"> y programas, se encuentran los beneficios tributarios de carácter ambiental previstos en la normatividad vigente.</w:t>
      </w:r>
    </w:p>
    <w:p w14:paraId="52627252" w14:textId="77777777" w:rsidR="000E1537" w:rsidRPr="00370068" w:rsidRDefault="000E1537" w:rsidP="00370068">
      <w:pPr>
        <w:pStyle w:val="Default"/>
        <w:jc w:val="both"/>
        <w:rPr>
          <w:rFonts w:ascii="Arial" w:hAnsi="Arial" w:cs="Arial"/>
          <w:color w:val="auto"/>
          <w:sz w:val="22"/>
          <w:szCs w:val="22"/>
        </w:rPr>
      </w:pPr>
    </w:p>
    <w:p w14:paraId="25C88863" w14:textId="77777777" w:rsidR="000E1537" w:rsidRPr="00370068" w:rsidRDefault="000E1537" w:rsidP="00370068">
      <w:pPr>
        <w:pStyle w:val="Default"/>
        <w:jc w:val="both"/>
        <w:rPr>
          <w:rFonts w:ascii="Arial" w:hAnsi="Arial" w:cs="Arial"/>
          <w:color w:val="auto"/>
          <w:sz w:val="22"/>
          <w:szCs w:val="22"/>
        </w:rPr>
      </w:pPr>
      <w:r w:rsidRPr="00370068">
        <w:rPr>
          <w:rFonts w:ascii="Arial" w:hAnsi="Arial" w:cs="Arial"/>
          <w:color w:val="auto"/>
          <w:sz w:val="22"/>
          <w:szCs w:val="22"/>
        </w:rPr>
        <w:t>Que Colombia adquirió compromisos ambientales en el marco de la COP21 en el sentido de reducir un 20% de las emisiones a 2030, tomando como base las emisiones proyectadas en 2010 para ese año objetivo.</w:t>
      </w:r>
    </w:p>
    <w:p w14:paraId="1924F437" w14:textId="77777777" w:rsidR="000E1537" w:rsidRPr="00370068" w:rsidRDefault="000E1537" w:rsidP="00370068">
      <w:pPr>
        <w:pStyle w:val="Default"/>
        <w:jc w:val="both"/>
        <w:rPr>
          <w:rFonts w:ascii="Arial" w:hAnsi="Arial" w:cs="Arial"/>
          <w:color w:val="auto"/>
          <w:sz w:val="22"/>
          <w:szCs w:val="22"/>
        </w:rPr>
      </w:pPr>
    </w:p>
    <w:p w14:paraId="39B9A8F0" w14:textId="77777777" w:rsidR="000E1537" w:rsidRPr="00370068" w:rsidRDefault="000E1537" w:rsidP="00370068">
      <w:pPr>
        <w:pStyle w:val="Default"/>
        <w:jc w:val="both"/>
        <w:rPr>
          <w:rFonts w:ascii="Arial" w:hAnsi="Arial" w:cs="Arial"/>
          <w:color w:val="auto"/>
          <w:sz w:val="22"/>
          <w:szCs w:val="22"/>
        </w:rPr>
      </w:pPr>
      <w:r w:rsidRPr="00370068">
        <w:rPr>
          <w:rFonts w:ascii="Arial" w:hAnsi="Arial" w:cs="Arial"/>
          <w:color w:val="auto"/>
          <w:sz w:val="22"/>
          <w:szCs w:val="22"/>
        </w:rPr>
        <w:t xml:space="preserve">Que a nivel internacional la implementación de medidas de eficiencia energética constituye la acción más costo efectiva para mitigar impactos del Cambio Climático y en consecuencia el Plan de Acción para el desarrollo del PROURE resulta un instrumento fundamental para contribuir a mitigar tales impactos, así como para facilitar el cumplimiento de los compromisos adquiridos por el país en la COP21. </w:t>
      </w:r>
    </w:p>
    <w:p w14:paraId="2292D98E" w14:textId="77777777" w:rsidR="000E1537" w:rsidRPr="00370068" w:rsidRDefault="000E1537" w:rsidP="00370068">
      <w:pPr>
        <w:pStyle w:val="Default"/>
        <w:jc w:val="both"/>
        <w:rPr>
          <w:rFonts w:ascii="Arial" w:hAnsi="Arial" w:cs="Arial"/>
          <w:color w:val="auto"/>
          <w:sz w:val="22"/>
          <w:szCs w:val="22"/>
        </w:rPr>
      </w:pPr>
    </w:p>
    <w:p w14:paraId="76B0D24E" w14:textId="77777777" w:rsidR="000E1537" w:rsidRPr="00370068" w:rsidRDefault="000E1537" w:rsidP="00370068">
      <w:pPr>
        <w:pStyle w:val="Default"/>
        <w:jc w:val="both"/>
        <w:rPr>
          <w:rFonts w:ascii="Arial" w:hAnsi="Arial" w:cs="Arial"/>
          <w:sz w:val="22"/>
        </w:rPr>
      </w:pPr>
      <w:r w:rsidRPr="00370068">
        <w:rPr>
          <w:rFonts w:ascii="Arial" w:hAnsi="Arial" w:cs="Arial"/>
          <w:color w:val="auto"/>
          <w:sz w:val="22"/>
          <w:szCs w:val="22"/>
        </w:rPr>
        <w:t xml:space="preserve">Que en cumplimiento de lo ordenado en el numeral 8 del artículo 8 de la Ley 1437 de 2011, </w:t>
      </w:r>
      <w:r w:rsidRPr="00370068">
        <w:rPr>
          <w:rFonts w:ascii="Arial" w:hAnsi="Arial" w:cs="Arial"/>
          <w:i/>
          <w:color w:val="auto"/>
          <w:sz w:val="22"/>
          <w:szCs w:val="22"/>
        </w:rPr>
        <w:t>“Código de Procedimiento Administrativo y de lo Contencioso Administrativo”,</w:t>
      </w:r>
      <w:r w:rsidRPr="00370068">
        <w:rPr>
          <w:rFonts w:ascii="Arial" w:hAnsi="Arial" w:cs="Arial"/>
          <w:color w:val="auto"/>
          <w:sz w:val="22"/>
          <w:szCs w:val="22"/>
        </w:rPr>
        <w:t xml:space="preserve"> el Ministerio de Minas y Energía publicó en su página web, del _____ al _____ de _____ de 2016, el proyecto de Resolución </w:t>
      </w:r>
      <w:r w:rsidRPr="00370068">
        <w:rPr>
          <w:rFonts w:ascii="Arial" w:hAnsi="Arial" w:cs="Arial"/>
          <w:i/>
          <w:color w:val="auto"/>
          <w:sz w:val="22"/>
          <w:szCs w:val="22"/>
        </w:rPr>
        <w:t>“Por la cual se adopta el Plan de Acción Indicativo 2017-2022 para el desarrollo del Programa de Uso Racional y Eficiente de la Energía, PROURE, que define objetivos, y metas de eficiencia energética, acciones y medidas sectoriales y estrategias base para el cumplimiento de metas y se adoptan otras disposiciones al respecto</w:t>
      </w:r>
      <w:r w:rsidRPr="00370068">
        <w:rPr>
          <w:rFonts w:ascii="Arial" w:hAnsi="Arial" w:cs="Arial"/>
          <w:i/>
        </w:rPr>
        <w:t>”</w:t>
      </w:r>
      <w:r w:rsidRPr="00370068">
        <w:rPr>
          <w:rFonts w:ascii="Arial" w:hAnsi="Arial" w:cs="Arial"/>
        </w:rPr>
        <w:t xml:space="preserve">, </w:t>
      </w:r>
      <w:r w:rsidRPr="00370068">
        <w:rPr>
          <w:rFonts w:ascii="Arial" w:hAnsi="Arial" w:cs="Arial"/>
          <w:color w:val="auto"/>
          <w:sz w:val="22"/>
          <w:szCs w:val="22"/>
        </w:rPr>
        <w:t>con el objeto de recibir opiniones, sugerencias o propuestas alternativas del público en general, las cuales fueron incorporadas a este Decreto en lo que se consideró pertinente.</w:t>
      </w:r>
    </w:p>
    <w:p w14:paraId="7881039A" w14:textId="77777777" w:rsidR="000E1537" w:rsidRPr="00370068" w:rsidRDefault="000E1537" w:rsidP="00370068">
      <w:pPr>
        <w:pStyle w:val="Default"/>
        <w:jc w:val="both"/>
        <w:rPr>
          <w:rFonts w:ascii="Arial" w:hAnsi="Arial" w:cs="Arial"/>
          <w:color w:val="auto"/>
          <w:sz w:val="22"/>
          <w:szCs w:val="22"/>
        </w:rPr>
      </w:pPr>
    </w:p>
    <w:p w14:paraId="08742229" w14:textId="77777777" w:rsidR="000E1537" w:rsidRPr="00370068" w:rsidRDefault="000E1537" w:rsidP="00370068">
      <w:pPr>
        <w:pStyle w:val="Default"/>
        <w:outlineLvl w:val="0"/>
        <w:rPr>
          <w:rFonts w:ascii="Arial" w:hAnsi="Arial" w:cs="Arial"/>
          <w:color w:val="auto"/>
          <w:sz w:val="22"/>
          <w:szCs w:val="22"/>
        </w:rPr>
      </w:pPr>
      <w:r w:rsidRPr="00370068">
        <w:rPr>
          <w:rFonts w:ascii="Arial" w:hAnsi="Arial" w:cs="Arial"/>
          <w:color w:val="auto"/>
          <w:sz w:val="22"/>
          <w:szCs w:val="22"/>
        </w:rPr>
        <w:t xml:space="preserve">Que en mérito de lo expuesto, </w:t>
      </w:r>
    </w:p>
    <w:p w14:paraId="6A4F3211" w14:textId="77777777" w:rsidR="000E1537" w:rsidRDefault="000E1537" w:rsidP="000E1537">
      <w:pPr>
        <w:pStyle w:val="Default"/>
        <w:spacing w:line="360" w:lineRule="auto"/>
        <w:rPr>
          <w:rFonts w:ascii="Arial" w:hAnsi="Arial" w:cs="Arial"/>
          <w:color w:val="auto"/>
          <w:sz w:val="22"/>
          <w:szCs w:val="22"/>
        </w:rPr>
      </w:pPr>
    </w:p>
    <w:p w14:paraId="417F1F93" w14:textId="77777777" w:rsidR="00042A4A" w:rsidRDefault="00042A4A" w:rsidP="000E1537">
      <w:pPr>
        <w:pStyle w:val="Default"/>
        <w:spacing w:line="360" w:lineRule="auto"/>
        <w:rPr>
          <w:rFonts w:ascii="Arial" w:hAnsi="Arial" w:cs="Arial"/>
          <w:color w:val="auto"/>
          <w:sz w:val="22"/>
          <w:szCs w:val="22"/>
        </w:rPr>
      </w:pPr>
    </w:p>
    <w:p w14:paraId="44EB1D7F" w14:textId="77777777" w:rsidR="00042A4A" w:rsidRDefault="00042A4A" w:rsidP="000E1537">
      <w:pPr>
        <w:pStyle w:val="Default"/>
        <w:spacing w:line="360" w:lineRule="auto"/>
        <w:rPr>
          <w:rFonts w:ascii="Arial" w:hAnsi="Arial" w:cs="Arial"/>
          <w:color w:val="auto"/>
          <w:sz w:val="22"/>
          <w:szCs w:val="22"/>
        </w:rPr>
      </w:pPr>
    </w:p>
    <w:p w14:paraId="7CFA94E6" w14:textId="77777777" w:rsidR="000E1537" w:rsidRDefault="000E1537" w:rsidP="000E1537">
      <w:pPr>
        <w:pStyle w:val="Default"/>
        <w:spacing w:line="360" w:lineRule="auto"/>
        <w:jc w:val="center"/>
        <w:outlineLvl w:val="0"/>
        <w:rPr>
          <w:rFonts w:ascii="Arial" w:hAnsi="Arial" w:cs="Arial"/>
          <w:color w:val="auto"/>
          <w:sz w:val="22"/>
          <w:szCs w:val="22"/>
        </w:rPr>
      </w:pPr>
      <w:r w:rsidRPr="00370068">
        <w:rPr>
          <w:rFonts w:ascii="Arial" w:hAnsi="Arial" w:cs="Arial"/>
          <w:b/>
          <w:color w:val="auto"/>
          <w:sz w:val="22"/>
          <w:szCs w:val="22"/>
        </w:rPr>
        <w:lastRenderedPageBreak/>
        <w:t>RESUELVE</w:t>
      </w:r>
      <w:r w:rsidRPr="00370068">
        <w:rPr>
          <w:rFonts w:ascii="Arial" w:hAnsi="Arial" w:cs="Arial"/>
          <w:color w:val="auto"/>
          <w:sz w:val="22"/>
          <w:szCs w:val="22"/>
        </w:rPr>
        <w:t xml:space="preserve">: </w:t>
      </w:r>
    </w:p>
    <w:p w14:paraId="07B68D66" w14:textId="77777777" w:rsidR="00042A4A" w:rsidRPr="00370068" w:rsidRDefault="00042A4A" w:rsidP="000E1537">
      <w:pPr>
        <w:pStyle w:val="Default"/>
        <w:spacing w:line="360" w:lineRule="auto"/>
        <w:jc w:val="center"/>
        <w:outlineLvl w:val="0"/>
        <w:rPr>
          <w:rFonts w:ascii="Arial" w:hAnsi="Arial" w:cs="Arial"/>
          <w:color w:val="auto"/>
          <w:sz w:val="22"/>
          <w:szCs w:val="22"/>
        </w:rPr>
      </w:pPr>
    </w:p>
    <w:p w14:paraId="112029BB" w14:textId="77777777" w:rsidR="000E1537" w:rsidRPr="00370068" w:rsidRDefault="000E1537" w:rsidP="00370068">
      <w:pPr>
        <w:pStyle w:val="Default"/>
        <w:jc w:val="both"/>
        <w:rPr>
          <w:rFonts w:ascii="Arial" w:hAnsi="Arial" w:cs="Arial"/>
          <w:i/>
          <w:iCs/>
          <w:color w:val="auto"/>
          <w:sz w:val="22"/>
          <w:szCs w:val="22"/>
        </w:rPr>
      </w:pPr>
      <w:r w:rsidRPr="00370068">
        <w:rPr>
          <w:rFonts w:ascii="Arial" w:hAnsi="Arial" w:cs="Arial"/>
          <w:b/>
          <w:color w:val="auto"/>
          <w:sz w:val="22"/>
          <w:szCs w:val="22"/>
        </w:rPr>
        <w:t>Artículo 1°</w:t>
      </w:r>
      <w:r w:rsidRPr="00370068">
        <w:rPr>
          <w:rFonts w:ascii="Arial" w:hAnsi="Arial" w:cs="Arial"/>
          <w:color w:val="auto"/>
          <w:sz w:val="22"/>
          <w:szCs w:val="22"/>
        </w:rPr>
        <w:t xml:space="preserve">. Adoptar el Plan de Acción Indicativo 2017-2022 </w:t>
      </w:r>
      <w:r w:rsidRPr="00370068">
        <w:rPr>
          <w:rFonts w:ascii="Arial" w:hAnsi="Arial" w:cs="Arial"/>
          <w:i/>
          <w:color w:val="auto"/>
          <w:sz w:val="22"/>
          <w:szCs w:val="22"/>
        </w:rPr>
        <w:t xml:space="preserve">para el desarrollo del </w:t>
      </w:r>
      <w:r w:rsidRPr="00370068">
        <w:rPr>
          <w:rFonts w:ascii="Arial" w:hAnsi="Arial" w:cs="Arial"/>
          <w:i/>
          <w:iCs/>
          <w:color w:val="auto"/>
          <w:sz w:val="22"/>
          <w:szCs w:val="22"/>
        </w:rPr>
        <w:t>Programa de Uso Racional y Eficiente de la Energía, PROURE, el cual forma parte integral de la presente resolución.</w:t>
      </w:r>
    </w:p>
    <w:p w14:paraId="19ED9918" w14:textId="77777777" w:rsidR="000E1537" w:rsidRPr="00370068" w:rsidRDefault="000E1537" w:rsidP="00370068">
      <w:pPr>
        <w:pStyle w:val="Default"/>
        <w:jc w:val="both"/>
        <w:rPr>
          <w:rFonts w:ascii="Arial" w:hAnsi="Arial" w:cs="Arial"/>
          <w:i/>
          <w:iCs/>
          <w:color w:val="auto"/>
          <w:sz w:val="22"/>
          <w:szCs w:val="22"/>
        </w:rPr>
      </w:pPr>
    </w:p>
    <w:p w14:paraId="4B16DD00" w14:textId="77777777" w:rsidR="000E1537" w:rsidRPr="00370068" w:rsidRDefault="000E1537" w:rsidP="00370068">
      <w:pPr>
        <w:pStyle w:val="Default"/>
        <w:jc w:val="both"/>
        <w:rPr>
          <w:rFonts w:ascii="Arial" w:hAnsi="Arial" w:cs="Arial"/>
          <w:i/>
          <w:color w:val="auto"/>
          <w:sz w:val="22"/>
        </w:rPr>
      </w:pPr>
      <w:r w:rsidRPr="00370068">
        <w:rPr>
          <w:rFonts w:ascii="Arial" w:hAnsi="Arial" w:cs="Arial"/>
          <w:b/>
          <w:color w:val="auto"/>
          <w:sz w:val="22"/>
          <w:szCs w:val="22"/>
        </w:rPr>
        <w:t>Artículo 2°</w:t>
      </w:r>
      <w:r w:rsidRPr="00370068">
        <w:rPr>
          <w:rFonts w:ascii="Arial" w:hAnsi="Arial" w:cs="Arial"/>
          <w:color w:val="auto"/>
          <w:sz w:val="22"/>
          <w:szCs w:val="22"/>
        </w:rPr>
        <w:t xml:space="preserve"> El objetivo general del Plan de Acción Indicativo 2017-2022 para el desarrollo </w:t>
      </w:r>
      <w:r w:rsidRPr="00370068">
        <w:rPr>
          <w:rFonts w:ascii="Arial" w:hAnsi="Arial" w:cs="Arial"/>
          <w:i/>
          <w:color w:val="auto"/>
          <w:sz w:val="22"/>
          <w:szCs w:val="22"/>
        </w:rPr>
        <w:t xml:space="preserve">del </w:t>
      </w:r>
      <w:r w:rsidRPr="00370068">
        <w:rPr>
          <w:rFonts w:ascii="Arial" w:hAnsi="Arial" w:cs="Arial"/>
          <w:i/>
          <w:iCs/>
          <w:color w:val="auto"/>
          <w:sz w:val="22"/>
          <w:szCs w:val="22"/>
        </w:rPr>
        <w:t>PROURE,  es “D</w:t>
      </w:r>
      <w:r w:rsidRPr="00370068">
        <w:rPr>
          <w:rFonts w:ascii="Arial" w:hAnsi="Arial" w:cs="Arial"/>
          <w:i/>
          <w:color w:val="auto"/>
          <w:sz w:val="22"/>
        </w:rPr>
        <w:t>efinir las acciones estratégicas y sectoriales que permitan alcanzar las metas en materia de eficiencia energética; de manera que se contribuya a la seguridad energética y al cumplimiento de compromisos internacionales en temas ambientales; generando impactos positivos en la competitividad del país y en el incremento de la calidad de vida de los colombianos”.</w:t>
      </w:r>
    </w:p>
    <w:p w14:paraId="47291414" w14:textId="77777777" w:rsidR="000E1537" w:rsidRPr="00370068" w:rsidRDefault="000E1537" w:rsidP="00370068">
      <w:pPr>
        <w:pStyle w:val="Default"/>
        <w:jc w:val="both"/>
        <w:rPr>
          <w:rFonts w:ascii="Arial" w:hAnsi="Arial" w:cs="Arial"/>
          <w:color w:val="auto"/>
          <w:sz w:val="22"/>
          <w:szCs w:val="22"/>
        </w:rPr>
      </w:pPr>
    </w:p>
    <w:p w14:paraId="0DF41D42" w14:textId="77777777" w:rsidR="000E1537" w:rsidRPr="00370068" w:rsidRDefault="000E1537" w:rsidP="00370068">
      <w:pPr>
        <w:pStyle w:val="Default"/>
        <w:jc w:val="both"/>
        <w:rPr>
          <w:rFonts w:ascii="Arial" w:hAnsi="Arial" w:cs="Arial"/>
          <w:color w:val="auto"/>
          <w:sz w:val="22"/>
        </w:rPr>
      </w:pPr>
      <w:r w:rsidRPr="00370068">
        <w:rPr>
          <w:rFonts w:ascii="Arial" w:hAnsi="Arial" w:cs="Arial"/>
          <w:b/>
          <w:color w:val="auto"/>
          <w:sz w:val="22"/>
          <w:szCs w:val="22"/>
        </w:rPr>
        <w:t>Artículo 3</w:t>
      </w:r>
      <w:r w:rsidRPr="00370068">
        <w:rPr>
          <w:rFonts w:ascii="Arial" w:hAnsi="Arial" w:cs="Arial"/>
          <w:color w:val="auto"/>
          <w:sz w:val="22"/>
          <w:szCs w:val="22"/>
        </w:rPr>
        <w:t xml:space="preserve">° Definir como objetivos específicos del Plan de Acción Indicativo 2017-2022 </w:t>
      </w:r>
      <w:r w:rsidRPr="00370068">
        <w:rPr>
          <w:rFonts w:ascii="Arial" w:hAnsi="Arial" w:cs="Arial"/>
          <w:i/>
          <w:color w:val="auto"/>
          <w:sz w:val="22"/>
          <w:szCs w:val="22"/>
        </w:rPr>
        <w:t xml:space="preserve">para el desarrollo del </w:t>
      </w:r>
      <w:r w:rsidRPr="00370068">
        <w:rPr>
          <w:rFonts w:ascii="Arial" w:hAnsi="Arial" w:cs="Arial"/>
          <w:i/>
          <w:iCs/>
          <w:color w:val="auto"/>
          <w:sz w:val="22"/>
          <w:szCs w:val="22"/>
        </w:rPr>
        <w:t xml:space="preserve">PROURE, </w:t>
      </w:r>
      <w:r w:rsidRPr="00370068">
        <w:rPr>
          <w:rFonts w:ascii="Arial" w:hAnsi="Arial" w:cs="Arial"/>
          <w:color w:val="auto"/>
          <w:sz w:val="22"/>
          <w:szCs w:val="22"/>
        </w:rPr>
        <w:t>los siguientes:</w:t>
      </w:r>
    </w:p>
    <w:p w14:paraId="69132638" w14:textId="77777777" w:rsidR="000E1537" w:rsidRPr="00370068" w:rsidRDefault="000E1537" w:rsidP="00370068">
      <w:pPr>
        <w:pStyle w:val="Default"/>
        <w:jc w:val="both"/>
        <w:rPr>
          <w:rFonts w:ascii="Arial" w:hAnsi="Arial" w:cs="Arial"/>
          <w:color w:val="auto"/>
          <w:sz w:val="22"/>
          <w:szCs w:val="22"/>
        </w:rPr>
      </w:pPr>
    </w:p>
    <w:p w14:paraId="1EAE29DB" w14:textId="089201A3" w:rsidR="000E1537" w:rsidRPr="005237FC" w:rsidRDefault="000E1537" w:rsidP="00370068">
      <w:pPr>
        <w:pStyle w:val="Default"/>
        <w:numPr>
          <w:ilvl w:val="0"/>
          <w:numId w:val="24"/>
        </w:numPr>
        <w:jc w:val="both"/>
        <w:rPr>
          <w:rFonts w:ascii="Arial" w:hAnsi="Arial" w:cs="Arial"/>
          <w:color w:val="auto"/>
          <w:sz w:val="22"/>
          <w:szCs w:val="22"/>
        </w:rPr>
      </w:pPr>
      <w:r w:rsidRPr="00370068">
        <w:rPr>
          <w:rFonts w:ascii="Arial" w:hAnsi="Arial" w:cs="Arial"/>
          <w:color w:val="auto"/>
          <w:sz w:val="22"/>
          <w:szCs w:val="22"/>
        </w:rPr>
        <w:t xml:space="preserve">Definir las metas indicativas de eficiencia </w:t>
      </w:r>
      <w:r w:rsidRPr="005237FC">
        <w:rPr>
          <w:rFonts w:ascii="Arial" w:hAnsi="Arial" w:cs="Arial"/>
          <w:color w:val="auto"/>
          <w:sz w:val="22"/>
          <w:szCs w:val="22"/>
        </w:rPr>
        <w:t xml:space="preserve">energética más </w:t>
      </w:r>
      <w:r w:rsidR="00370068" w:rsidRPr="005237FC">
        <w:rPr>
          <w:rFonts w:ascii="Arial" w:hAnsi="Arial" w:cs="Arial"/>
          <w:color w:val="auto"/>
          <w:sz w:val="22"/>
          <w:szCs w:val="22"/>
        </w:rPr>
        <w:t>“</w:t>
      </w:r>
      <w:r w:rsidRPr="005237FC">
        <w:rPr>
          <w:rFonts w:ascii="Arial" w:hAnsi="Arial" w:cs="Arial"/>
          <w:color w:val="auto"/>
          <w:sz w:val="22"/>
          <w:szCs w:val="22"/>
        </w:rPr>
        <w:t>costo- efectivas</w:t>
      </w:r>
      <w:r w:rsidR="00370068" w:rsidRPr="005237FC">
        <w:rPr>
          <w:rFonts w:ascii="Arial" w:hAnsi="Arial" w:cs="Arial"/>
          <w:color w:val="auto"/>
          <w:sz w:val="22"/>
          <w:szCs w:val="22"/>
        </w:rPr>
        <w:t>”</w:t>
      </w:r>
      <w:r w:rsidRPr="005237FC">
        <w:rPr>
          <w:rFonts w:ascii="Arial" w:hAnsi="Arial" w:cs="Arial"/>
          <w:color w:val="auto"/>
          <w:sz w:val="22"/>
          <w:szCs w:val="22"/>
        </w:rPr>
        <w:t>, para cada uno de los usuarios finales de energía, por energético y por equipo de uso final.</w:t>
      </w:r>
    </w:p>
    <w:p w14:paraId="1A888589" w14:textId="77777777" w:rsidR="000E1537" w:rsidRPr="00370068" w:rsidRDefault="000E1537" w:rsidP="00370068">
      <w:pPr>
        <w:pStyle w:val="Default"/>
        <w:numPr>
          <w:ilvl w:val="0"/>
          <w:numId w:val="24"/>
        </w:numPr>
        <w:jc w:val="both"/>
        <w:rPr>
          <w:rFonts w:ascii="Arial" w:hAnsi="Arial" w:cs="Arial"/>
          <w:color w:val="auto"/>
          <w:sz w:val="22"/>
          <w:szCs w:val="22"/>
        </w:rPr>
      </w:pPr>
      <w:r w:rsidRPr="005237FC">
        <w:rPr>
          <w:rFonts w:ascii="Arial" w:hAnsi="Arial" w:cs="Arial"/>
          <w:color w:val="auto"/>
          <w:sz w:val="22"/>
          <w:szCs w:val="22"/>
        </w:rPr>
        <w:t>Construir las condiciones económicas, técnicas, regulatorias y de información, para impulsar un mercado de bienes y servicios energéticos eficientes</w:t>
      </w:r>
      <w:r w:rsidRPr="00370068">
        <w:rPr>
          <w:rFonts w:ascii="Arial" w:hAnsi="Arial" w:cs="Arial"/>
          <w:color w:val="auto"/>
          <w:sz w:val="22"/>
          <w:szCs w:val="22"/>
        </w:rPr>
        <w:t xml:space="preserve"> en Colombia.</w:t>
      </w:r>
    </w:p>
    <w:p w14:paraId="02779D7C" w14:textId="77777777" w:rsidR="000E1537" w:rsidRPr="00370068" w:rsidRDefault="000E1537" w:rsidP="00370068">
      <w:pPr>
        <w:pStyle w:val="Default"/>
        <w:numPr>
          <w:ilvl w:val="0"/>
          <w:numId w:val="24"/>
        </w:numPr>
        <w:jc w:val="both"/>
        <w:rPr>
          <w:rFonts w:ascii="Arial" w:hAnsi="Arial" w:cs="Arial"/>
          <w:color w:val="auto"/>
          <w:sz w:val="22"/>
          <w:szCs w:val="22"/>
        </w:rPr>
      </w:pPr>
      <w:r w:rsidRPr="00370068">
        <w:rPr>
          <w:rFonts w:ascii="Arial" w:hAnsi="Arial" w:cs="Arial"/>
          <w:color w:val="auto"/>
          <w:sz w:val="22"/>
          <w:szCs w:val="22"/>
        </w:rPr>
        <w:t>Fortalecer las instituciones e impulsar la iniciativa empresarial de carácter privado, mixto o de capital social para el desarrollo de subprogramas y proyectos que hacen parte del PROURE.</w:t>
      </w:r>
    </w:p>
    <w:p w14:paraId="41E140D0" w14:textId="77777777" w:rsidR="000E1537" w:rsidRPr="00370068" w:rsidRDefault="000E1537" w:rsidP="00370068">
      <w:pPr>
        <w:pStyle w:val="Default"/>
        <w:numPr>
          <w:ilvl w:val="0"/>
          <w:numId w:val="24"/>
        </w:numPr>
        <w:jc w:val="both"/>
        <w:rPr>
          <w:rFonts w:ascii="Arial" w:hAnsi="Arial" w:cs="Arial"/>
          <w:color w:val="auto"/>
          <w:sz w:val="22"/>
          <w:szCs w:val="22"/>
        </w:rPr>
      </w:pPr>
      <w:r w:rsidRPr="00370068">
        <w:rPr>
          <w:rFonts w:ascii="Arial" w:hAnsi="Arial" w:cs="Arial"/>
          <w:color w:val="auto"/>
          <w:sz w:val="22"/>
          <w:szCs w:val="22"/>
        </w:rPr>
        <w:t>Facilitar la aplicación de las normas relacionadas con incentivos, incluyendo los tributarios, que permitan impulsar el desarrollo de subprogramas y proyectos que hacen parte del PROURE.</w:t>
      </w:r>
    </w:p>
    <w:p w14:paraId="79805031" w14:textId="77777777" w:rsidR="000E1537" w:rsidRPr="00370068" w:rsidRDefault="000E1537" w:rsidP="00370068">
      <w:pPr>
        <w:pStyle w:val="Default"/>
        <w:numPr>
          <w:ilvl w:val="0"/>
          <w:numId w:val="24"/>
        </w:numPr>
        <w:jc w:val="both"/>
        <w:rPr>
          <w:rFonts w:ascii="Arial" w:hAnsi="Arial" w:cs="Arial"/>
          <w:color w:val="auto"/>
          <w:sz w:val="22"/>
          <w:szCs w:val="22"/>
        </w:rPr>
      </w:pPr>
      <w:r w:rsidRPr="00370068">
        <w:rPr>
          <w:rFonts w:ascii="Arial" w:hAnsi="Arial" w:cs="Arial"/>
          <w:color w:val="auto"/>
          <w:sz w:val="22"/>
          <w:szCs w:val="22"/>
        </w:rPr>
        <w:t>Consolidar una cultura para el manejo sostenible y eficiente de los recursos naturales a lo largo de la cadena energética.</w:t>
      </w:r>
    </w:p>
    <w:p w14:paraId="4A915678" w14:textId="77777777" w:rsidR="000E1537" w:rsidRPr="00370068" w:rsidRDefault="000E1537" w:rsidP="00370068">
      <w:pPr>
        <w:pStyle w:val="Default"/>
        <w:numPr>
          <w:ilvl w:val="0"/>
          <w:numId w:val="24"/>
        </w:numPr>
        <w:jc w:val="both"/>
        <w:rPr>
          <w:rFonts w:ascii="Arial" w:hAnsi="Arial" w:cs="Arial"/>
          <w:color w:val="auto"/>
          <w:sz w:val="22"/>
          <w:szCs w:val="22"/>
        </w:rPr>
      </w:pPr>
      <w:r w:rsidRPr="00370068">
        <w:rPr>
          <w:rFonts w:ascii="Arial" w:hAnsi="Arial" w:cs="Arial"/>
          <w:color w:val="auto"/>
          <w:sz w:val="22"/>
          <w:szCs w:val="22"/>
        </w:rPr>
        <w:t>Armonizar las metas del presente Plan de Acción Indicativo con los compromisos adquiridos por el país en la COP21; a través de los Planes de Acción Sectorial, PAS, o de otros instrumentos diseñados para tal fin.</w:t>
      </w:r>
    </w:p>
    <w:p w14:paraId="44AF1E5F" w14:textId="77777777" w:rsidR="000E1537" w:rsidRPr="00370068" w:rsidRDefault="000E1537" w:rsidP="00370068">
      <w:pPr>
        <w:pStyle w:val="Default"/>
        <w:ind w:left="708"/>
        <w:jc w:val="both"/>
        <w:rPr>
          <w:rFonts w:ascii="Arial" w:hAnsi="Arial" w:cs="Arial"/>
          <w:color w:val="auto"/>
          <w:sz w:val="22"/>
          <w:szCs w:val="22"/>
        </w:rPr>
      </w:pPr>
    </w:p>
    <w:p w14:paraId="0D2D081E" w14:textId="77777777" w:rsidR="000E1537" w:rsidRPr="00370068" w:rsidRDefault="000E1537" w:rsidP="00370068">
      <w:pPr>
        <w:pStyle w:val="Default"/>
        <w:jc w:val="both"/>
        <w:rPr>
          <w:rFonts w:ascii="Arial" w:hAnsi="Arial" w:cs="Arial"/>
          <w:b/>
          <w:color w:val="auto"/>
          <w:sz w:val="22"/>
          <w:szCs w:val="22"/>
        </w:rPr>
      </w:pPr>
      <w:r w:rsidRPr="00370068">
        <w:rPr>
          <w:rFonts w:ascii="Arial" w:hAnsi="Arial" w:cs="Arial"/>
          <w:b/>
          <w:color w:val="auto"/>
          <w:sz w:val="22"/>
          <w:szCs w:val="22"/>
        </w:rPr>
        <w:t xml:space="preserve">Artículo 4° </w:t>
      </w:r>
      <w:r w:rsidRPr="00370068">
        <w:rPr>
          <w:rFonts w:ascii="Arial" w:hAnsi="Arial" w:cs="Arial"/>
          <w:color w:val="auto"/>
          <w:sz w:val="22"/>
          <w:szCs w:val="22"/>
        </w:rPr>
        <w:t>Adoptar, como indicativas, las siguientes metas de eficiencia energética, por sector del Plan de Acción Indicativo 2017-2022 para el desarrollo del</w:t>
      </w:r>
      <w:r w:rsidRPr="00370068">
        <w:rPr>
          <w:rFonts w:ascii="Arial" w:hAnsi="Arial" w:cs="Arial"/>
          <w:i/>
          <w:iCs/>
          <w:color w:val="auto"/>
          <w:sz w:val="22"/>
          <w:szCs w:val="22"/>
        </w:rPr>
        <w:t>, PROURE</w:t>
      </w:r>
      <w:r w:rsidRPr="00370068">
        <w:rPr>
          <w:rFonts w:ascii="Arial" w:hAnsi="Arial" w:cs="Arial"/>
          <w:b/>
          <w:color w:val="auto"/>
          <w:sz w:val="22"/>
          <w:szCs w:val="22"/>
        </w:rPr>
        <w:t>:</w:t>
      </w:r>
    </w:p>
    <w:p w14:paraId="139D2611" w14:textId="77777777" w:rsidR="000E1537" w:rsidRPr="00370068" w:rsidRDefault="000E1537" w:rsidP="00370068">
      <w:pPr>
        <w:rPr>
          <w:rFonts w:ascii="Arial" w:hAnsi="Arial" w:cs="Arial"/>
          <w:color w:val="FF0000"/>
          <w:sz w:val="22"/>
        </w:rPr>
      </w:pPr>
    </w:p>
    <w:tbl>
      <w:tblPr>
        <w:tblW w:w="4888" w:type="dxa"/>
        <w:jc w:val="center"/>
        <w:tblCellMar>
          <w:left w:w="70" w:type="dxa"/>
          <w:right w:w="70" w:type="dxa"/>
        </w:tblCellMar>
        <w:tblLook w:val="04A0" w:firstRow="1" w:lastRow="0" w:firstColumn="1" w:lastColumn="0" w:noHBand="0" w:noVBand="1"/>
      </w:tblPr>
      <w:tblGrid>
        <w:gridCol w:w="1964"/>
        <w:gridCol w:w="100"/>
        <w:gridCol w:w="1590"/>
        <w:gridCol w:w="1234"/>
      </w:tblGrid>
      <w:tr w:rsidR="000E1537" w:rsidRPr="00370068" w14:paraId="792FA930" w14:textId="77777777" w:rsidTr="00B32474">
        <w:trPr>
          <w:trHeight w:val="315"/>
          <w:jc w:val="center"/>
        </w:trPr>
        <w:tc>
          <w:tcPr>
            <w:tcW w:w="4888"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ECA1260" w14:textId="77777777" w:rsidR="000E1537" w:rsidRPr="00370068" w:rsidRDefault="000E1537" w:rsidP="00370068">
            <w:pPr>
              <w:ind w:left="487" w:hanging="487"/>
              <w:jc w:val="center"/>
              <w:rPr>
                <w:rFonts w:ascii="Arial" w:hAnsi="Arial" w:cs="Arial"/>
                <w:b/>
                <w:bCs/>
                <w:color w:val="000000"/>
                <w:sz w:val="20"/>
              </w:rPr>
            </w:pPr>
            <w:r w:rsidRPr="00370068">
              <w:rPr>
                <w:rFonts w:ascii="Arial" w:hAnsi="Arial" w:cs="Arial"/>
                <w:b/>
                <w:bCs/>
                <w:sz w:val="20"/>
              </w:rPr>
              <w:t>METAS INDICATIVAS DE AHORRO 2017 – 2022</w:t>
            </w:r>
          </w:p>
        </w:tc>
      </w:tr>
      <w:tr w:rsidR="000E1537" w:rsidRPr="00370068" w14:paraId="701DB3B7" w14:textId="77777777" w:rsidTr="00B32474">
        <w:trPr>
          <w:trHeight w:val="162"/>
          <w:jc w:val="center"/>
        </w:trPr>
        <w:tc>
          <w:tcPr>
            <w:tcW w:w="2064" w:type="dxa"/>
            <w:gridSpan w:val="2"/>
            <w:tcBorders>
              <w:top w:val="nil"/>
              <w:left w:val="nil"/>
              <w:bottom w:val="nil"/>
              <w:right w:val="nil"/>
            </w:tcBorders>
            <w:shd w:val="clear" w:color="auto" w:fill="auto"/>
            <w:noWrap/>
            <w:vAlign w:val="bottom"/>
            <w:hideMark/>
          </w:tcPr>
          <w:p w14:paraId="347A9F1C" w14:textId="77777777" w:rsidR="000E1537" w:rsidRPr="00370068" w:rsidRDefault="000E1537" w:rsidP="00370068">
            <w:pPr>
              <w:jc w:val="center"/>
              <w:rPr>
                <w:rFonts w:ascii="Arial" w:hAnsi="Arial" w:cs="Arial"/>
                <w:b/>
                <w:bCs/>
                <w:color w:val="000000"/>
                <w:sz w:val="20"/>
              </w:rPr>
            </w:pPr>
          </w:p>
        </w:tc>
        <w:tc>
          <w:tcPr>
            <w:tcW w:w="1590" w:type="dxa"/>
            <w:tcBorders>
              <w:top w:val="nil"/>
              <w:left w:val="nil"/>
              <w:bottom w:val="nil"/>
              <w:right w:val="nil"/>
            </w:tcBorders>
            <w:shd w:val="clear" w:color="auto" w:fill="auto"/>
            <w:noWrap/>
            <w:vAlign w:val="bottom"/>
            <w:hideMark/>
          </w:tcPr>
          <w:p w14:paraId="5F36B4A2" w14:textId="77777777" w:rsidR="000E1537" w:rsidRPr="00370068" w:rsidRDefault="000E1537" w:rsidP="00370068">
            <w:pPr>
              <w:jc w:val="center"/>
              <w:rPr>
                <w:rFonts w:ascii="Arial" w:hAnsi="Arial" w:cs="Arial"/>
                <w:sz w:val="20"/>
              </w:rPr>
            </w:pPr>
          </w:p>
        </w:tc>
        <w:tc>
          <w:tcPr>
            <w:tcW w:w="1234" w:type="dxa"/>
            <w:tcBorders>
              <w:top w:val="nil"/>
              <w:left w:val="nil"/>
              <w:bottom w:val="nil"/>
              <w:right w:val="nil"/>
            </w:tcBorders>
            <w:shd w:val="clear" w:color="auto" w:fill="auto"/>
            <w:noWrap/>
            <w:vAlign w:val="bottom"/>
            <w:hideMark/>
          </w:tcPr>
          <w:p w14:paraId="50BCA549" w14:textId="77777777" w:rsidR="000E1537" w:rsidRPr="00370068" w:rsidRDefault="000E1537" w:rsidP="00370068">
            <w:pPr>
              <w:jc w:val="center"/>
              <w:rPr>
                <w:rFonts w:ascii="Arial" w:hAnsi="Arial" w:cs="Arial"/>
                <w:sz w:val="20"/>
              </w:rPr>
            </w:pPr>
          </w:p>
        </w:tc>
      </w:tr>
      <w:tr w:rsidR="000E1537" w:rsidRPr="00370068" w14:paraId="34667952" w14:textId="77777777" w:rsidTr="00B32474">
        <w:trPr>
          <w:trHeight w:val="615"/>
          <w:jc w:val="center"/>
        </w:trPr>
        <w:tc>
          <w:tcPr>
            <w:tcW w:w="1964" w:type="dxa"/>
            <w:tcBorders>
              <w:top w:val="single" w:sz="8" w:space="0" w:color="auto"/>
              <w:left w:val="single" w:sz="8" w:space="0" w:color="auto"/>
              <w:bottom w:val="single" w:sz="8" w:space="0" w:color="auto"/>
              <w:right w:val="nil"/>
            </w:tcBorders>
            <w:shd w:val="clear" w:color="auto" w:fill="auto"/>
            <w:noWrap/>
            <w:vAlign w:val="center"/>
            <w:hideMark/>
          </w:tcPr>
          <w:p w14:paraId="3E845749" w14:textId="77777777" w:rsidR="000E1537" w:rsidRPr="00370068" w:rsidRDefault="000E1537" w:rsidP="00370068">
            <w:pPr>
              <w:jc w:val="center"/>
              <w:rPr>
                <w:rFonts w:ascii="Arial" w:hAnsi="Arial" w:cs="Arial"/>
                <w:b/>
                <w:bCs/>
                <w:color w:val="000000"/>
                <w:sz w:val="20"/>
              </w:rPr>
            </w:pPr>
            <w:r w:rsidRPr="00370068">
              <w:rPr>
                <w:rFonts w:ascii="Arial" w:hAnsi="Arial" w:cs="Arial"/>
                <w:b/>
                <w:bCs/>
                <w:color w:val="000000"/>
                <w:sz w:val="20"/>
                <w:lang w:eastAsia="es-CO"/>
              </w:rPr>
              <w:t>SECTOR</w:t>
            </w:r>
          </w:p>
        </w:tc>
        <w:tc>
          <w:tcPr>
            <w:tcW w:w="169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6156342" w14:textId="77777777" w:rsidR="000E1537" w:rsidRPr="00370068" w:rsidRDefault="000E1537" w:rsidP="00370068">
            <w:pPr>
              <w:jc w:val="center"/>
              <w:rPr>
                <w:rFonts w:ascii="Arial" w:hAnsi="Arial" w:cs="Arial"/>
                <w:b/>
                <w:bCs/>
                <w:color w:val="000000"/>
                <w:sz w:val="20"/>
              </w:rPr>
            </w:pPr>
            <w:r w:rsidRPr="00370068">
              <w:rPr>
                <w:rFonts w:ascii="Arial" w:hAnsi="Arial" w:cs="Arial"/>
                <w:b/>
                <w:bCs/>
                <w:color w:val="000000"/>
                <w:sz w:val="20"/>
                <w:lang w:eastAsia="es-CO"/>
              </w:rPr>
              <w:t>META DE AHORRO (TJ)</w:t>
            </w:r>
          </w:p>
        </w:tc>
        <w:tc>
          <w:tcPr>
            <w:tcW w:w="1234" w:type="dxa"/>
            <w:tcBorders>
              <w:top w:val="single" w:sz="8" w:space="0" w:color="auto"/>
              <w:left w:val="nil"/>
              <w:bottom w:val="single" w:sz="8" w:space="0" w:color="auto"/>
              <w:right w:val="single" w:sz="8" w:space="0" w:color="auto"/>
            </w:tcBorders>
            <w:shd w:val="clear" w:color="auto" w:fill="auto"/>
            <w:vAlign w:val="center"/>
            <w:hideMark/>
          </w:tcPr>
          <w:p w14:paraId="2D8DCFB7" w14:textId="77777777" w:rsidR="000E1537" w:rsidRPr="00370068" w:rsidRDefault="000E1537" w:rsidP="00370068">
            <w:pPr>
              <w:jc w:val="center"/>
              <w:rPr>
                <w:rFonts w:ascii="Arial" w:hAnsi="Arial" w:cs="Arial"/>
                <w:b/>
                <w:bCs/>
                <w:color w:val="000000"/>
                <w:sz w:val="20"/>
              </w:rPr>
            </w:pPr>
            <w:r w:rsidRPr="00370068">
              <w:rPr>
                <w:rFonts w:ascii="Arial" w:hAnsi="Arial" w:cs="Arial"/>
                <w:b/>
                <w:bCs/>
                <w:color w:val="000000"/>
                <w:sz w:val="20"/>
                <w:lang w:eastAsia="es-CO"/>
              </w:rPr>
              <w:t>META DE AHORRO (%)</w:t>
            </w:r>
          </w:p>
        </w:tc>
      </w:tr>
      <w:tr w:rsidR="000E1537" w:rsidRPr="00370068" w14:paraId="260D58A5" w14:textId="77777777" w:rsidTr="00B32474">
        <w:trPr>
          <w:trHeight w:val="300"/>
          <w:jc w:val="center"/>
        </w:trPr>
        <w:tc>
          <w:tcPr>
            <w:tcW w:w="1964" w:type="dxa"/>
            <w:tcBorders>
              <w:top w:val="nil"/>
              <w:left w:val="single" w:sz="8" w:space="0" w:color="auto"/>
              <w:bottom w:val="nil"/>
              <w:right w:val="nil"/>
            </w:tcBorders>
            <w:shd w:val="clear" w:color="auto" w:fill="auto"/>
            <w:noWrap/>
            <w:vAlign w:val="bottom"/>
            <w:hideMark/>
          </w:tcPr>
          <w:p w14:paraId="5A491076" w14:textId="77777777" w:rsidR="000E1537" w:rsidRPr="00370068" w:rsidRDefault="000E1537" w:rsidP="00370068">
            <w:pPr>
              <w:rPr>
                <w:rFonts w:ascii="Arial" w:hAnsi="Arial" w:cs="Arial"/>
                <w:color w:val="000000"/>
                <w:sz w:val="20"/>
              </w:rPr>
            </w:pPr>
            <w:r w:rsidRPr="00370068">
              <w:rPr>
                <w:rFonts w:ascii="Arial" w:hAnsi="Arial" w:cs="Arial"/>
                <w:color w:val="000000"/>
                <w:sz w:val="20"/>
                <w:lang w:eastAsia="es-CO"/>
              </w:rPr>
              <w:t>TRANSPORTE</w:t>
            </w:r>
          </w:p>
        </w:tc>
        <w:tc>
          <w:tcPr>
            <w:tcW w:w="1690" w:type="dxa"/>
            <w:gridSpan w:val="2"/>
            <w:tcBorders>
              <w:top w:val="nil"/>
              <w:left w:val="single" w:sz="8" w:space="0" w:color="auto"/>
              <w:bottom w:val="nil"/>
              <w:right w:val="single" w:sz="8" w:space="0" w:color="auto"/>
            </w:tcBorders>
            <w:shd w:val="clear" w:color="auto" w:fill="auto"/>
            <w:noWrap/>
            <w:vAlign w:val="bottom"/>
            <w:hideMark/>
          </w:tcPr>
          <w:p w14:paraId="40095842" w14:textId="77777777" w:rsidR="000E1537" w:rsidRPr="00370068" w:rsidRDefault="000E1537" w:rsidP="00370068">
            <w:pPr>
              <w:jc w:val="right"/>
              <w:rPr>
                <w:rFonts w:ascii="Arial" w:hAnsi="Arial" w:cs="Arial"/>
                <w:color w:val="000000"/>
                <w:sz w:val="20"/>
              </w:rPr>
            </w:pPr>
            <w:r w:rsidRPr="00370068">
              <w:rPr>
                <w:rFonts w:ascii="Arial" w:hAnsi="Arial" w:cs="Arial"/>
                <w:color w:val="000000"/>
                <w:sz w:val="20"/>
                <w:lang w:eastAsia="es-CO"/>
              </w:rPr>
              <w:t>424.408</w:t>
            </w:r>
          </w:p>
        </w:tc>
        <w:tc>
          <w:tcPr>
            <w:tcW w:w="1234" w:type="dxa"/>
            <w:tcBorders>
              <w:top w:val="nil"/>
              <w:left w:val="nil"/>
              <w:bottom w:val="nil"/>
              <w:right w:val="single" w:sz="8" w:space="0" w:color="auto"/>
            </w:tcBorders>
            <w:shd w:val="clear" w:color="auto" w:fill="auto"/>
            <w:noWrap/>
            <w:vAlign w:val="bottom"/>
            <w:hideMark/>
          </w:tcPr>
          <w:p w14:paraId="418BAA34" w14:textId="77777777" w:rsidR="000E1537" w:rsidRPr="00370068" w:rsidRDefault="000E1537" w:rsidP="00370068">
            <w:pPr>
              <w:jc w:val="right"/>
              <w:rPr>
                <w:rFonts w:ascii="Arial" w:hAnsi="Arial" w:cs="Arial"/>
                <w:color w:val="000000"/>
                <w:sz w:val="20"/>
              </w:rPr>
            </w:pPr>
            <w:r w:rsidRPr="00370068">
              <w:rPr>
                <w:rFonts w:ascii="Arial" w:hAnsi="Arial" w:cs="Arial"/>
                <w:color w:val="000000"/>
                <w:sz w:val="20"/>
                <w:lang w:eastAsia="es-CO"/>
              </w:rPr>
              <w:t>5,49%</w:t>
            </w:r>
          </w:p>
        </w:tc>
      </w:tr>
      <w:tr w:rsidR="000E1537" w:rsidRPr="00370068" w14:paraId="745C40FE" w14:textId="77777777" w:rsidTr="00B32474">
        <w:trPr>
          <w:trHeight w:val="300"/>
          <w:jc w:val="center"/>
        </w:trPr>
        <w:tc>
          <w:tcPr>
            <w:tcW w:w="1964" w:type="dxa"/>
            <w:tcBorders>
              <w:top w:val="nil"/>
              <w:left w:val="single" w:sz="8" w:space="0" w:color="auto"/>
              <w:bottom w:val="nil"/>
              <w:right w:val="nil"/>
            </w:tcBorders>
            <w:shd w:val="clear" w:color="auto" w:fill="auto"/>
            <w:noWrap/>
            <w:vAlign w:val="bottom"/>
            <w:hideMark/>
          </w:tcPr>
          <w:p w14:paraId="690E7DEB" w14:textId="77777777" w:rsidR="000E1537" w:rsidRPr="00370068" w:rsidRDefault="000E1537" w:rsidP="00370068">
            <w:pPr>
              <w:rPr>
                <w:rFonts w:ascii="Arial" w:hAnsi="Arial" w:cs="Arial"/>
                <w:color w:val="000000"/>
                <w:sz w:val="20"/>
              </w:rPr>
            </w:pPr>
            <w:r w:rsidRPr="00370068">
              <w:rPr>
                <w:rFonts w:ascii="Arial" w:hAnsi="Arial" w:cs="Arial"/>
                <w:color w:val="000000"/>
                <w:sz w:val="20"/>
                <w:lang w:eastAsia="es-CO"/>
              </w:rPr>
              <w:t>INDUSTRIA</w:t>
            </w:r>
          </w:p>
        </w:tc>
        <w:tc>
          <w:tcPr>
            <w:tcW w:w="1690" w:type="dxa"/>
            <w:gridSpan w:val="2"/>
            <w:tcBorders>
              <w:top w:val="nil"/>
              <w:left w:val="single" w:sz="8" w:space="0" w:color="auto"/>
              <w:bottom w:val="nil"/>
              <w:right w:val="single" w:sz="8" w:space="0" w:color="auto"/>
            </w:tcBorders>
            <w:shd w:val="clear" w:color="auto" w:fill="auto"/>
            <w:noWrap/>
            <w:vAlign w:val="bottom"/>
            <w:hideMark/>
          </w:tcPr>
          <w:p w14:paraId="6C018140" w14:textId="77777777" w:rsidR="000E1537" w:rsidRPr="00370068" w:rsidRDefault="000E1537" w:rsidP="00370068">
            <w:pPr>
              <w:jc w:val="right"/>
              <w:rPr>
                <w:rFonts w:ascii="Arial" w:hAnsi="Arial" w:cs="Arial"/>
                <w:color w:val="000000"/>
                <w:sz w:val="20"/>
              </w:rPr>
            </w:pPr>
            <w:r w:rsidRPr="00370068">
              <w:rPr>
                <w:rFonts w:ascii="Arial" w:hAnsi="Arial" w:cs="Arial"/>
                <w:color w:val="000000"/>
                <w:sz w:val="20"/>
                <w:lang w:eastAsia="es-CO"/>
              </w:rPr>
              <w:t>131.859</w:t>
            </w:r>
          </w:p>
        </w:tc>
        <w:tc>
          <w:tcPr>
            <w:tcW w:w="1234" w:type="dxa"/>
            <w:tcBorders>
              <w:top w:val="nil"/>
              <w:left w:val="nil"/>
              <w:bottom w:val="nil"/>
              <w:right w:val="single" w:sz="8" w:space="0" w:color="auto"/>
            </w:tcBorders>
            <w:shd w:val="clear" w:color="auto" w:fill="auto"/>
            <w:noWrap/>
            <w:vAlign w:val="bottom"/>
            <w:hideMark/>
          </w:tcPr>
          <w:p w14:paraId="10C86F23" w14:textId="77777777" w:rsidR="000E1537" w:rsidRPr="00370068" w:rsidRDefault="000E1537" w:rsidP="00370068">
            <w:pPr>
              <w:jc w:val="right"/>
              <w:rPr>
                <w:rFonts w:ascii="Arial" w:hAnsi="Arial" w:cs="Arial"/>
                <w:color w:val="000000"/>
                <w:sz w:val="20"/>
              </w:rPr>
            </w:pPr>
            <w:r w:rsidRPr="00370068">
              <w:rPr>
                <w:rFonts w:ascii="Arial" w:hAnsi="Arial" w:cs="Arial"/>
                <w:color w:val="000000"/>
                <w:sz w:val="20"/>
                <w:lang w:eastAsia="es-CO"/>
              </w:rPr>
              <w:t>1,71%</w:t>
            </w:r>
          </w:p>
        </w:tc>
      </w:tr>
      <w:tr w:rsidR="000E1537" w:rsidRPr="00370068" w14:paraId="7F7D39D1" w14:textId="77777777" w:rsidTr="00B32474">
        <w:trPr>
          <w:trHeight w:val="300"/>
          <w:jc w:val="center"/>
        </w:trPr>
        <w:tc>
          <w:tcPr>
            <w:tcW w:w="1964" w:type="dxa"/>
            <w:tcBorders>
              <w:top w:val="nil"/>
              <w:left w:val="single" w:sz="8" w:space="0" w:color="auto"/>
              <w:bottom w:val="nil"/>
              <w:right w:val="nil"/>
            </w:tcBorders>
            <w:shd w:val="clear" w:color="auto" w:fill="auto"/>
            <w:noWrap/>
            <w:vAlign w:val="bottom"/>
            <w:hideMark/>
          </w:tcPr>
          <w:p w14:paraId="123641B8" w14:textId="77777777" w:rsidR="000E1537" w:rsidRPr="00370068" w:rsidRDefault="000E1537" w:rsidP="00370068">
            <w:pPr>
              <w:rPr>
                <w:rFonts w:ascii="Arial" w:hAnsi="Arial" w:cs="Arial"/>
                <w:color w:val="000000"/>
                <w:sz w:val="20"/>
              </w:rPr>
            </w:pPr>
            <w:r w:rsidRPr="00370068">
              <w:rPr>
                <w:rFonts w:ascii="Arial" w:hAnsi="Arial" w:cs="Arial"/>
                <w:color w:val="000000"/>
                <w:sz w:val="20"/>
                <w:lang w:eastAsia="es-CO"/>
              </w:rPr>
              <w:t>TERCIARIO</w:t>
            </w:r>
          </w:p>
        </w:tc>
        <w:tc>
          <w:tcPr>
            <w:tcW w:w="1690" w:type="dxa"/>
            <w:gridSpan w:val="2"/>
            <w:tcBorders>
              <w:top w:val="nil"/>
              <w:left w:val="single" w:sz="8" w:space="0" w:color="auto"/>
              <w:bottom w:val="nil"/>
              <w:right w:val="single" w:sz="8" w:space="0" w:color="auto"/>
            </w:tcBorders>
            <w:shd w:val="clear" w:color="auto" w:fill="auto"/>
            <w:noWrap/>
            <w:vAlign w:val="bottom"/>
            <w:hideMark/>
          </w:tcPr>
          <w:p w14:paraId="4683E39E" w14:textId="77777777" w:rsidR="000E1537" w:rsidRPr="00370068" w:rsidRDefault="000E1537" w:rsidP="00370068">
            <w:pPr>
              <w:jc w:val="right"/>
              <w:rPr>
                <w:rFonts w:ascii="Arial" w:hAnsi="Arial" w:cs="Arial"/>
                <w:color w:val="000000"/>
                <w:sz w:val="20"/>
              </w:rPr>
            </w:pPr>
            <w:r w:rsidRPr="00370068">
              <w:rPr>
                <w:rFonts w:ascii="Arial" w:hAnsi="Arial" w:cs="Arial"/>
                <w:color w:val="000000"/>
                <w:sz w:val="20"/>
                <w:lang w:eastAsia="es-CO"/>
              </w:rPr>
              <w:t>87.289</w:t>
            </w:r>
          </w:p>
        </w:tc>
        <w:tc>
          <w:tcPr>
            <w:tcW w:w="1234" w:type="dxa"/>
            <w:tcBorders>
              <w:top w:val="nil"/>
              <w:left w:val="nil"/>
              <w:bottom w:val="nil"/>
              <w:right w:val="single" w:sz="8" w:space="0" w:color="auto"/>
            </w:tcBorders>
            <w:shd w:val="clear" w:color="auto" w:fill="auto"/>
            <w:noWrap/>
            <w:vAlign w:val="bottom"/>
            <w:hideMark/>
          </w:tcPr>
          <w:p w14:paraId="4CC011F1" w14:textId="77777777" w:rsidR="000E1537" w:rsidRPr="00370068" w:rsidRDefault="000E1537" w:rsidP="00370068">
            <w:pPr>
              <w:jc w:val="right"/>
              <w:rPr>
                <w:rFonts w:ascii="Arial" w:hAnsi="Arial" w:cs="Arial"/>
                <w:color w:val="000000"/>
                <w:sz w:val="20"/>
              </w:rPr>
            </w:pPr>
            <w:r w:rsidRPr="00370068">
              <w:rPr>
                <w:rFonts w:ascii="Arial" w:hAnsi="Arial" w:cs="Arial"/>
                <w:color w:val="000000"/>
                <w:sz w:val="20"/>
                <w:lang w:eastAsia="es-CO"/>
              </w:rPr>
              <w:t>1,13%</w:t>
            </w:r>
          </w:p>
        </w:tc>
      </w:tr>
      <w:tr w:rsidR="000E1537" w:rsidRPr="00370068" w14:paraId="1553F2E1" w14:textId="77777777" w:rsidTr="00B32474">
        <w:trPr>
          <w:trHeight w:val="315"/>
          <w:jc w:val="center"/>
        </w:trPr>
        <w:tc>
          <w:tcPr>
            <w:tcW w:w="1964" w:type="dxa"/>
            <w:tcBorders>
              <w:top w:val="nil"/>
              <w:left w:val="single" w:sz="8" w:space="0" w:color="auto"/>
              <w:bottom w:val="single" w:sz="8" w:space="0" w:color="auto"/>
              <w:right w:val="nil"/>
            </w:tcBorders>
            <w:shd w:val="clear" w:color="auto" w:fill="auto"/>
            <w:noWrap/>
            <w:vAlign w:val="bottom"/>
            <w:hideMark/>
          </w:tcPr>
          <w:p w14:paraId="021FFD04" w14:textId="77777777" w:rsidR="000E1537" w:rsidRPr="00370068" w:rsidRDefault="000E1537" w:rsidP="00370068">
            <w:pPr>
              <w:rPr>
                <w:rFonts w:ascii="Arial" w:hAnsi="Arial" w:cs="Arial"/>
                <w:color w:val="000000"/>
                <w:sz w:val="20"/>
              </w:rPr>
            </w:pPr>
            <w:r w:rsidRPr="00370068">
              <w:rPr>
                <w:rFonts w:ascii="Arial" w:hAnsi="Arial" w:cs="Arial"/>
                <w:color w:val="000000"/>
                <w:sz w:val="20"/>
                <w:lang w:eastAsia="es-CO"/>
              </w:rPr>
              <w:t>RESIDENCIAL</w:t>
            </w:r>
          </w:p>
        </w:tc>
        <w:tc>
          <w:tcPr>
            <w:tcW w:w="1690" w:type="dxa"/>
            <w:gridSpan w:val="2"/>
            <w:tcBorders>
              <w:top w:val="nil"/>
              <w:left w:val="single" w:sz="8" w:space="0" w:color="auto"/>
              <w:bottom w:val="single" w:sz="8" w:space="0" w:color="auto"/>
              <w:right w:val="single" w:sz="8" w:space="0" w:color="auto"/>
            </w:tcBorders>
            <w:shd w:val="clear" w:color="auto" w:fill="auto"/>
            <w:noWrap/>
            <w:vAlign w:val="bottom"/>
            <w:hideMark/>
          </w:tcPr>
          <w:p w14:paraId="203A401F" w14:textId="77777777" w:rsidR="000E1537" w:rsidRPr="00370068" w:rsidRDefault="000E1537" w:rsidP="00370068">
            <w:pPr>
              <w:jc w:val="right"/>
              <w:rPr>
                <w:rFonts w:ascii="Arial" w:hAnsi="Arial" w:cs="Arial"/>
                <w:color w:val="000000"/>
                <w:sz w:val="20"/>
              </w:rPr>
            </w:pPr>
            <w:r w:rsidRPr="00370068">
              <w:rPr>
                <w:rFonts w:ascii="Arial" w:hAnsi="Arial" w:cs="Arial"/>
                <w:color w:val="000000"/>
                <w:sz w:val="20"/>
                <w:lang w:eastAsia="es-CO"/>
              </w:rPr>
              <w:t>56.121</w:t>
            </w:r>
          </w:p>
        </w:tc>
        <w:tc>
          <w:tcPr>
            <w:tcW w:w="1234" w:type="dxa"/>
            <w:tcBorders>
              <w:top w:val="nil"/>
              <w:left w:val="nil"/>
              <w:bottom w:val="single" w:sz="8" w:space="0" w:color="auto"/>
              <w:right w:val="single" w:sz="8" w:space="0" w:color="auto"/>
            </w:tcBorders>
            <w:shd w:val="clear" w:color="auto" w:fill="auto"/>
            <w:noWrap/>
            <w:vAlign w:val="bottom"/>
            <w:hideMark/>
          </w:tcPr>
          <w:p w14:paraId="75BAAB8B" w14:textId="77777777" w:rsidR="000E1537" w:rsidRPr="00370068" w:rsidRDefault="000E1537" w:rsidP="00370068">
            <w:pPr>
              <w:jc w:val="right"/>
              <w:rPr>
                <w:rFonts w:ascii="Arial" w:hAnsi="Arial" w:cs="Arial"/>
                <w:color w:val="000000"/>
                <w:sz w:val="20"/>
              </w:rPr>
            </w:pPr>
            <w:r w:rsidRPr="00370068">
              <w:rPr>
                <w:rFonts w:ascii="Arial" w:hAnsi="Arial" w:cs="Arial"/>
                <w:color w:val="000000"/>
                <w:sz w:val="20"/>
                <w:lang w:eastAsia="es-CO"/>
              </w:rPr>
              <w:t>0,73%</w:t>
            </w:r>
          </w:p>
        </w:tc>
      </w:tr>
      <w:tr w:rsidR="000E1537" w:rsidRPr="00370068" w14:paraId="1FE207C7" w14:textId="77777777" w:rsidTr="00B32474">
        <w:trPr>
          <w:trHeight w:val="315"/>
          <w:jc w:val="center"/>
        </w:trPr>
        <w:tc>
          <w:tcPr>
            <w:tcW w:w="1964" w:type="dxa"/>
            <w:tcBorders>
              <w:top w:val="nil"/>
              <w:left w:val="nil"/>
              <w:bottom w:val="nil"/>
              <w:right w:val="nil"/>
            </w:tcBorders>
            <w:shd w:val="clear" w:color="auto" w:fill="auto"/>
            <w:noWrap/>
            <w:vAlign w:val="bottom"/>
            <w:hideMark/>
          </w:tcPr>
          <w:p w14:paraId="50994D1F" w14:textId="77777777" w:rsidR="000E1537" w:rsidRPr="00370068" w:rsidRDefault="000E1537" w:rsidP="00370068">
            <w:pPr>
              <w:jc w:val="right"/>
              <w:rPr>
                <w:rFonts w:ascii="Arial" w:hAnsi="Arial" w:cs="Arial"/>
                <w:color w:val="000000"/>
                <w:sz w:val="20"/>
              </w:rPr>
            </w:pPr>
          </w:p>
        </w:tc>
        <w:tc>
          <w:tcPr>
            <w:tcW w:w="1690" w:type="dxa"/>
            <w:gridSpan w:val="2"/>
            <w:tcBorders>
              <w:top w:val="nil"/>
              <w:left w:val="single" w:sz="8" w:space="0" w:color="auto"/>
              <w:bottom w:val="single" w:sz="8" w:space="0" w:color="auto"/>
              <w:right w:val="single" w:sz="8" w:space="0" w:color="auto"/>
            </w:tcBorders>
            <w:shd w:val="clear" w:color="auto" w:fill="auto"/>
            <w:noWrap/>
            <w:vAlign w:val="bottom"/>
            <w:hideMark/>
          </w:tcPr>
          <w:p w14:paraId="24307E9F" w14:textId="77777777" w:rsidR="000E1537" w:rsidRPr="00370068" w:rsidRDefault="000E1537" w:rsidP="00370068">
            <w:pPr>
              <w:jc w:val="right"/>
              <w:rPr>
                <w:rFonts w:ascii="Arial" w:hAnsi="Arial" w:cs="Arial"/>
                <w:color w:val="000000"/>
                <w:sz w:val="20"/>
              </w:rPr>
            </w:pPr>
            <w:r w:rsidRPr="00370068">
              <w:rPr>
                <w:rFonts w:ascii="Arial" w:hAnsi="Arial" w:cs="Arial"/>
                <w:color w:val="000000"/>
                <w:sz w:val="20"/>
                <w:lang w:eastAsia="es-CO"/>
              </w:rPr>
              <w:t>699.678</w:t>
            </w:r>
          </w:p>
        </w:tc>
        <w:tc>
          <w:tcPr>
            <w:tcW w:w="1234" w:type="dxa"/>
            <w:tcBorders>
              <w:top w:val="nil"/>
              <w:left w:val="nil"/>
              <w:bottom w:val="single" w:sz="8" w:space="0" w:color="auto"/>
              <w:right w:val="single" w:sz="8" w:space="0" w:color="auto"/>
            </w:tcBorders>
            <w:shd w:val="clear" w:color="auto" w:fill="auto"/>
            <w:noWrap/>
            <w:vAlign w:val="bottom"/>
            <w:hideMark/>
          </w:tcPr>
          <w:p w14:paraId="737663DD" w14:textId="77777777" w:rsidR="000E1537" w:rsidRPr="00370068" w:rsidRDefault="000E1537" w:rsidP="00370068">
            <w:pPr>
              <w:jc w:val="right"/>
              <w:rPr>
                <w:rFonts w:ascii="Arial" w:hAnsi="Arial" w:cs="Arial"/>
                <w:color w:val="000000"/>
                <w:sz w:val="20"/>
              </w:rPr>
            </w:pPr>
            <w:r w:rsidRPr="00370068">
              <w:rPr>
                <w:rFonts w:ascii="Arial" w:hAnsi="Arial" w:cs="Arial"/>
                <w:color w:val="000000"/>
                <w:sz w:val="20"/>
                <w:lang w:eastAsia="es-CO"/>
              </w:rPr>
              <w:t>9,05%</w:t>
            </w:r>
          </w:p>
        </w:tc>
      </w:tr>
    </w:tbl>
    <w:p w14:paraId="3D5125C0" w14:textId="77777777" w:rsidR="000E1537" w:rsidRPr="00370068" w:rsidRDefault="000E1537" w:rsidP="00370068">
      <w:pPr>
        <w:rPr>
          <w:rFonts w:ascii="Arial" w:hAnsi="Arial" w:cs="Arial"/>
          <w:sz w:val="22"/>
        </w:rPr>
      </w:pPr>
    </w:p>
    <w:p w14:paraId="4CDAF9EF" w14:textId="77777777" w:rsidR="000E1537" w:rsidRPr="00A92382" w:rsidRDefault="000E1537" w:rsidP="00370068">
      <w:pPr>
        <w:pStyle w:val="Prrafodelista"/>
        <w:ind w:left="0"/>
        <w:jc w:val="both"/>
        <w:rPr>
          <w:rFonts w:ascii="Arial" w:hAnsi="Arial" w:cs="Arial"/>
          <w:sz w:val="22"/>
        </w:rPr>
      </w:pPr>
      <w:r w:rsidRPr="00A92382">
        <w:rPr>
          <w:rFonts w:ascii="Arial" w:hAnsi="Arial" w:cs="Arial"/>
          <w:b/>
          <w:sz w:val="22"/>
        </w:rPr>
        <w:t>Artículo 5°</w:t>
      </w:r>
      <w:r w:rsidRPr="00A92382">
        <w:rPr>
          <w:rFonts w:ascii="Arial" w:hAnsi="Arial" w:cs="Arial"/>
          <w:sz w:val="22"/>
        </w:rPr>
        <w:t xml:space="preserve">. El Ministerio de Minas y Energía junto con  la UPME,  revisarán anualmente las metas de eficiencia energética establecidas en el artículo 4º de la presente resolución. En el evento en que se considere necesaria su  actualización, la inclusión de </w:t>
      </w:r>
      <w:r w:rsidRPr="00A92382">
        <w:rPr>
          <w:rFonts w:ascii="Arial" w:hAnsi="Arial" w:cs="Arial"/>
          <w:sz w:val="22"/>
        </w:rPr>
        <w:lastRenderedPageBreak/>
        <w:t>nuevas o el redimensionamiento de las existentes, este Ministerio expedirá la Resolución adoptando las modificaciones pertinentes.</w:t>
      </w:r>
    </w:p>
    <w:p w14:paraId="07B3304D" w14:textId="77777777" w:rsidR="000E1537" w:rsidRPr="00A92382" w:rsidRDefault="000E1537" w:rsidP="00370068">
      <w:pPr>
        <w:pStyle w:val="Default"/>
        <w:jc w:val="both"/>
        <w:rPr>
          <w:rFonts w:ascii="Arial" w:hAnsi="Arial" w:cs="Arial"/>
          <w:b/>
          <w:color w:val="FF0000"/>
          <w:sz w:val="20"/>
          <w:szCs w:val="22"/>
          <w:highlight w:val="yellow"/>
        </w:rPr>
      </w:pPr>
    </w:p>
    <w:p w14:paraId="0050B1B9" w14:textId="7AD8B2FA" w:rsidR="000E1537" w:rsidRPr="00370068" w:rsidRDefault="000E1537" w:rsidP="00370068">
      <w:pPr>
        <w:pStyle w:val="Default"/>
        <w:jc w:val="both"/>
        <w:rPr>
          <w:rFonts w:ascii="Arial" w:hAnsi="Arial" w:cs="Arial"/>
          <w:color w:val="auto"/>
          <w:sz w:val="22"/>
          <w:szCs w:val="22"/>
        </w:rPr>
      </w:pPr>
      <w:r w:rsidRPr="00370068">
        <w:rPr>
          <w:rFonts w:ascii="Arial" w:hAnsi="Arial" w:cs="Arial"/>
          <w:b/>
          <w:color w:val="auto"/>
          <w:sz w:val="22"/>
          <w:szCs w:val="22"/>
        </w:rPr>
        <w:t xml:space="preserve">Artículo 6° </w:t>
      </w:r>
      <w:r w:rsidRPr="00370068">
        <w:rPr>
          <w:rFonts w:ascii="Arial" w:hAnsi="Arial" w:cs="Arial"/>
          <w:color w:val="auto"/>
          <w:sz w:val="22"/>
          <w:szCs w:val="22"/>
        </w:rPr>
        <w:t xml:space="preserve">Definir las acciones y medidas sectoriales para el cumplimiento de las metas a 2022, del Plan de Acción Indicativo 2017-2022 </w:t>
      </w:r>
      <w:r w:rsidRPr="00370068">
        <w:rPr>
          <w:rFonts w:ascii="Arial" w:hAnsi="Arial" w:cs="Arial"/>
          <w:i/>
          <w:color w:val="auto"/>
          <w:sz w:val="22"/>
          <w:szCs w:val="22"/>
        </w:rPr>
        <w:t>para el desarrollo del</w:t>
      </w:r>
      <w:r w:rsidRPr="00370068">
        <w:rPr>
          <w:rFonts w:ascii="Arial" w:hAnsi="Arial" w:cs="Arial"/>
          <w:i/>
          <w:iCs/>
          <w:color w:val="auto"/>
          <w:sz w:val="22"/>
          <w:szCs w:val="22"/>
        </w:rPr>
        <w:t xml:space="preserve"> PROURE</w:t>
      </w:r>
      <w:r w:rsidRPr="00370068">
        <w:rPr>
          <w:rFonts w:ascii="Arial" w:hAnsi="Arial" w:cs="Arial"/>
          <w:color w:val="auto"/>
          <w:sz w:val="22"/>
          <w:szCs w:val="22"/>
        </w:rPr>
        <w:t>:</w:t>
      </w:r>
    </w:p>
    <w:p w14:paraId="32BEBF14" w14:textId="77777777" w:rsidR="000E1537" w:rsidRPr="00370068" w:rsidRDefault="000E1537" w:rsidP="00370068">
      <w:pPr>
        <w:pStyle w:val="Prrafodelista"/>
        <w:ind w:left="0"/>
        <w:outlineLvl w:val="0"/>
        <w:rPr>
          <w:rFonts w:ascii="Arial" w:hAnsi="Arial" w:cs="Arial"/>
        </w:rPr>
      </w:pPr>
    </w:p>
    <w:p w14:paraId="5AB536EF" w14:textId="77777777" w:rsidR="000E1537" w:rsidRPr="00370068" w:rsidRDefault="000E1537" w:rsidP="00370068">
      <w:pPr>
        <w:pStyle w:val="Prrafodelista"/>
        <w:ind w:left="0"/>
        <w:outlineLvl w:val="0"/>
        <w:rPr>
          <w:rFonts w:ascii="Arial" w:hAnsi="Arial" w:cs="Arial"/>
        </w:rPr>
      </w:pPr>
      <w:r w:rsidRPr="00370068">
        <w:rPr>
          <w:rFonts w:ascii="Arial" w:hAnsi="Arial" w:cs="Arial"/>
        </w:rPr>
        <w:t xml:space="preserve">A. En el sector transporte: </w:t>
      </w:r>
    </w:p>
    <w:p w14:paraId="750960CA"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Reconversión a Gas Natural Vehicular, GNV en transporte público de pasajeros.</w:t>
      </w:r>
    </w:p>
    <w:p w14:paraId="03D309CA" w14:textId="77777777" w:rsidR="000E1537" w:rsidRPr="00370068" w:rsidRDefault="000E1537" w:rsidP="00370068">
      <w:pPr>
        <w:pStyle w:val="Default"/>
        <w:jc w:val="both"/>
        <w:rPr>
          <w:rFonts w:ascii="Arial" w:hAnsi="Arial" w:cs="Arial"/>
          <w:color w:val="auto"/>
          <w:sz w:val="22"/>
          <w:szCs w:val="22"/>
        </w:rPr>
      </w:pPr>
    </w:p>
    <w:p w14:paraId="522B4D25"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Uso de electricidad en las categorías: Flota sector oficial, taxis en las principales ciudades del país, motos y automóviles y transporte público de pasajeros de las principales ciudades del país.</w:t>
      </w:r>
    </w:p>
    <w:p w14:paraId="623B5836" w14:textId="77777777" w:rsidR="000E1537" w:rsidRPr="00370068" w:rsidRDefault="000E1537" w:rsidP="00370068">
      <w:pPr>
        <w:pStyle w:val="Default"/>
        <w:jc w:val="both"/>
        <w:rPr>
          <w:rFonts w:ascii="Arial" w:hAnsi="Arial" w:cs="Arial"/>
          <w:color w:val="auto"/>
          <w:sz w:val="22"/>
          <w:szCs w:val="22"/>
        </w:rPr>
      </w:pPr>
    </w:p>
    <w:p w14:paraId="19B3EC4E"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Establecimiento de los estándares de eficiencia energética en el sector y etiquetado para los vehículos, y</w:t>
      </w:r>
    </w:p>
    <w:p w14:paraId="267D3A43" w14:textId="77777777" w:rsidR="000E1537" w:rsidRPr="00370068" w:rsidRDefault="000E1537" w:rsidP="00370068">
      <w:pPr>
        <w:pStyle w:val="Prrafodelista"/>
        <w:rPr>
          <w:rFonts w:ascii="Arial" w:hAnsi="Arial" w:cs="Arial"/>
        </w:rPr>
      </w:pPr>
    </w:p>
    <w:p w14:paraId="2D30F295"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 xml:space="preserve">Evaluación de otros energéticos con potencial disponibilidad para impulsar la diversificación de la canasta energética del sector. </w:t>
      </w:r>
    </w:p>
    <w:p w14:paraId="49D71A97" w14:textId="77777777" w:rsidR="000E1537" w:rsidRPr="00370068" w:rsidRDefault="000E1537" w:rsidP="00370068">
      <w:pPr>
        <w:pStyle w:val="Default"/>
        <w:jc w:val="both"/>
        <w:rPr>
          <w:rFonts w:ascii="Arial" w:hAnsi="Arial" w:cs="Arial"/>
          <w:color w:val="auto"/>
          <w:sz w:val="22"/>
          <w:szCs w:val="22"/>
        </w:rPr>
      </w:pPr>
    </w:p>
    <w:p w14:paraId="5C23F23D" w14:textId="77777777" w:rsidR="000E1537" w:rsidRPr="00370068" w:rsidRDefault="000E1537" w:rsidP="00370068">
      <w:pPr>
        <w:pStyle w:val="Prrafodelista"/>
        <w:ind w:left="0"/>
        <w:outlineLvl w:val="0"/>
        <w:rPr>
          <w:rFonts w:ascii="Arial" w:hAnsi="Arial" w:cs="Arial"/>
        </w:rPr>
      </w:pPr>
      <w:r w:rsidRPr="00370068">
        <w:rPr>
          <w:rFonts w:ascii="Arial" w:hAnsi="Arial" w:cs="Arial"/>
        </w:rPr>
        <w:t>B. En el sector industrial:</w:t>
      </w:r>
    </w:p>
    <w:p w14:paraId="6A10F0C3"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Medidas de eficiencia energética en energía eléctrica (Fuerza motriz, aire acondicionado, refrigeración, iluminación, instalaciones eléctricas, calor directo e indirecto).</w:t>
      </w:r>
    </w:p>
    <w:p w14:paraId="26F16A8B"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Medidas de eficiencia energética en combustibles sólidos para calor directo e indirecto.</w:t>
      </w:r>
    </w:p>
    <w:p w14:paraId="16911A16"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 xml:space="preserve">Medidas de eficiencia energética en Gas Natural para calor directo e indirecto. </w:t>
      </w:r>
    </w:p>
    <w:p w14:paraId="57A26B53"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Medidas transversales de BPO y diseño e implementación de Sistemas de Gestión de la Energía, SGEn.</w:t>
      </w:r>
    </w:p>
    <w:p w14:paraId="0CFC24E0" w14:textId="77777777" w:rsidR="000E1537" w:rsidRPr="00370068" w:rsidRDefault="000E1537" w:rsidP="00370068">
      <w:pPr>
        <w:pStyle w:val="Default"/>
        <w:jc w:val="both"/>
        <w:rPr>
          <w:rFonts w:ascii="Arial" w:hAnsi="Arial" w:cs="Arial"/>
          <w:color w:val="auto"/>
          <w:sz w:val="22"/>
          <w:szCs w:val="22"/>
        </w:rPr>
      </w:pPr>
    </w:p>
    <w:p w14:paraId="401F510F" w14:textId="77777777" w:rsidR="000E1537" w:rsidRPr="00370068" w:rsidRDefault="000E1537" w:rsidP="00370068">
      <w:pPr>
        <w:pStyle w:val="Prrafodelista"/>
        <w:ind w:left="0"/>
        <w:outlineLvl w:val="0"/>
        <w:rPr>
          <w:rFonts w:ascii="Arial" w:hAnsi="Arial" w:cs="Arial"/>
        </w:rPr>
      </w:pPr>
      <w:r w:rsidRPr="00370068">
        <w:rPr>
          <w:rFonts w:ascii="Arial" w:hAnsi="Arial" w:cs="Arial"/>
        </w:rPr>
        <w:t>C. En el sector comercial, público y servicios (Terciario):</w:t>
      </w:r>
    </w:p>
    <w:p w14:paraId="0C758252"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Medidas de eficiencia energética en energía eléctrica (Iluminación, aire acondicionado, motores eléctricos y mejoras en sistemas de alumbrado público).</w:t>
      </w:r>
    </w:p>
    <w:p w14:paraId="13153D69"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Mejora en el diseño, la construcción y la adecuación arquitectónica de edificaciones (incluyendo mejoramiento en la transferencia de calor por los techos, ventanas y muros).</w:t>
      </w:r>
    </w:p>
    <w:p w14:paraId="30E1B2C6"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Evaluación e Implementación de distritos térmicos.</w:t>
      </w:r>
    </w:p>
    <w:p w14:paraId="5D94104C"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Implementación de sistemas de medición inteligente.</w:t>
      </w:r>
    </w:p>
    <w:p w14:paraId="1442208F"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 xml:space="preserve">Mejoramiento de la eficiencia energética en entidades públicas </w:t>
      </w:r>
    </w:p>
    <w:p w14:paraId="47E7C579"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Adopción de reglamento de instalaciones térmicas.</w:t>
      </w:r>
    </w:p>
    <w:p w14:paraId="218F7D4A"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Implementación de SGEn.</w:t>
      </w:r>
    </w:p>
    <w:p w14:paraId="18C63A8E" w14:textId="77777777" w:rsidR="000E1537" w:rsidRPr="00370068" w:rsidRDefault="000E1537" w:rsidP="00370068">
      <w:pPr>
        <w:pStyle w:val="Default"/>
        <w:jc w:val="both"/>
        <w:rPr>
          <w:rFonts w:ascii="Arial" w:hAnsi="Arial" w:cs="Arial"/>
          <w:color w:val="auto"/>
          <w:sz w:val="22"/>
          <w:szCs w:val="22"/>
        </w:rPr>
      </w:pPr>
    </w:p>
    <w:p w14:paraId="07C115AF" w14:textId="77777777" w:rsidR="000E1537" w:rsidRPr="00370068" w:rsidRDefault="000E1537" w:rsidP="00370068">
      <w:pPr>
        <w:pStyle w:val="Prrafodelista"/>
        <w:ind w:left="0"/>
        <w:outlineLvl w:val="0"/>
        <w:rPr>
          <w:rFonts w:ascii="Arial" w:hAnsi="Arial" w:cs="Arial"/>
        </w:rPr>
      </w:pPr>
      <w:r w:rsidRPr="00370068">
        <w:rPr>
          <w:rFonts w:ascii="Arial" w:hAnsi="Arial" w:cs="Arial"/>
        </w:rPr>
        <w:t>D. En el sector residencial:</w:t>
      </w:r>
    </w:p>
    <w:p w14:paraId="1569819D"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Medidas de eficiencia energética en energía eléctrica (Refrigeración, Iluminación y aire acondicionado).</w:t>
      </w:r>
    </w:p>
    <w:p w14:paraId="0B9E2FDE"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Mejoramiento de eficiencia energética en edificaciones (pinturas atérmicas, extractores eólicos y otros medios de acondicionamiento ambiental por medios naturales)</w:t>
      </w:r>
    </w:p>
    <w:p w14:paraId="4E9F043B"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Sustitución de duchas eléctricas por Sistemas Solares Térmicos, SST.</w:t>
      </w:r>
    </w:p>
    <w:p w14:paraId="45722832"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Implementación de Sistemas Solares Fotovoltaicos, SFV</w:t>
      </w:r>
    </w:p>
    <w:p w14:paraId="477CDB0F" w14:textId="77777777" w:rsidR="000E1537" w:rsidRPr="00370068" w:rsidRDefault="000E1537" w:rsidP="00370068">
      <w:pPr>
        <w:pStyle w:val="Default"/>
        <w:numPr>
          <w:ilvl w:val="0"/>
          <w:numId w:val="25"/>
        </w:numPr>
        <w:jc w:val="both"/>
        <w:rPr>
          <w:rFonts w:ascii="Arial" w:hAnsi="Arial" w:cs="Arial"/>
          <w:color w:val="auto"/>
          <w:sz w:val="22"/>
          <w:szCs w:val="22"/>
        </w:rPr>
      </w:pPr>
      <w:r w:rsidRPr="00370068">
        <w:rPr>
          <w:rFonts w:ascii="Arial" w:hAnsi="Arial" w:cs="Arial"/>
          <w:color w:val="auto"/>
          <w:sz w:val="22"/>
          <w:szCs w:val="22"/>
        </w:rPr>
        <w:t>Reducción de consumo por Stand by.</w:t>
      </w:r>
    </w:p>
    <w:p w14:paraId="1BECA093" w14:textId="77777777" w:rsidR="000E1537" w:rsidRPr="00370068" w:rsidRDefault="000E1537" w:rsidP="00370068">
      <w:pPr>
        <w:pStyle w:val="Default"/>
        <w:numPr>
          <w:ilvl w:val="0"/>
          <w:numId w:val="25"/>
        </w:numPr>
        <w:jc w:val="both"/>
        <w:rPr>
          <w:rFonts w:ascii="Arial" w:hAnsi="Arial" w:cs="Arial"/>
          <w:b/>
          <w:color w:val="auto"/>
          <w:sz w:val="22"/>
          <w:szCs w:val="22"/>
        </w:rPr>
      </w:pPr>
      <w:r w:rsidRPr="00370068">
        <w:rPr>
          <w:rFonts w:ascii="Arial" w:hAnsi="Arial" w:cs="Arial"/>
          <w:color w:val="auto"/>
          <w:sz w:val="22"/>
          <w:szCs w:val="22"/>
        </w:rPr>
        <w:t>Implementación de estufas mejoradas de leña y uso de GLP.</w:t>
      </w:r>
    </w:p>
    <w:p w14:paraId="5FD8DDE0" w14:textId="77777777" w:rsidR="000E1537" w:rsidRPr="00370068" w:rsidRDefault="000E1537" w:rsidP="00370068">
      <w:pPr>
        <w:pStyle w:val="Default"/>
        <w:jc w:val="both"/>
        <w:rPr>
          <w:rFonts w:ascii="Arial" w:hAnsi="Arial" w:cs="Arial"/>
          <w:b/>
          <w:color w:val="auto"/>
          <w:sz w:val="22"/>
          <w:szCs w:val="22"/>
        </w:rPr>
      </w:pPr>
    </w:p>
    <w:p w14:paraId="1DC4B63D" w14:textId="5443F718" w:rsidR="000E1537" w:rsidRPr="00370068" w:rsidRDefault="000E1537" w:rsidP="00370068">
      <w:pPr>
        <w:pStyle w:val="Default"/>
        <w:jc w:val="both"/>
        <w:rPr>
          <w:rFonts w:ascii="Arial" w:hAnsi="Arial" w:cs="Arial"/>
          <w:color w:val="auto"/>
          <w:sz w:val="22"/>
          <w:szCs w:val="22"/>
        </w:rPr>
      </w:pPr>
      <w:r w:rsidRPr="00370068">
        <w:rPr>
          <w:rFonts w:ascii="Arial" w:hAnsi="Arial" w:cs="Arial"/>
          <w:b/>
          <w:color w:val="auto"/>
          <w:sz w:val="22"/>
          <w:szCs w:val="22"/>
        </w:rPr>
        <w:lastRenderedPageBreak/>
        <w:t>Parágrafo 1:</w:t>
      </w:r>
      <w:r w:rsidRPr="00370068">
        <w:rPr>
          <w:rFonts w:ascii="Arial" w:hAnsi="Arial" w:cs="Arial"/>
          <w:color w:val="auto"/>
          <w:sz w:val="22"/>
          <w:szCs w:val="22"/>
        </w:rPr>
        <w:t xml:space="preserve"> El detalle de cada </w:t>
      </w:r>
      <w:r w:rsidR="00A92382">
        <w:rPr>
          <w:rFonts w:ascii="Arial" w:hAnsi="Arial" w:cs="Arial"/>
          <w:color w:val="auto"/>
          <w:sz w:val="22"/>
          <w:szCs w:val="22"/>
        </w:rPr>
        <w:t>acción</w:t>
      </w:r>
      <w:r w:rsidR="00A92382" w:rsidRPr="00370068">
        <w:rPr>
          <w:rFonts w:ascii="Arial" w:hAnsi="Arial" w:cs="Arial"/>
          <w:color w:val="auto"/>
          <w:sz w:val="22"/>
          <w:szCs w:val="22"/>
        </w:rPr>
        <w:t xml:space="preserve"> </w:t>
      </w:r>
      <w:r w:rsidR="00A92382">
        <w:rPr>
          <w:rFonts w:ascii="Arial" w:hAnsi="Arial" w:cs="Arial"/>
          <w:color w:val="auto"/>
          <w:sz w:val="22"/>
          <w:szCs w:val="22"/>
        </w:rPr>
        <w:t>y</w:t>
      </w:r>
      <w:r w:rsidR="00A92382" w:rsidRPr="00370068">
        <w:rPr>
          <w:rFonts w:ascii="Arial" w:hAnsi="Arial" w:cs="Arial"/>
          <w:color w:val="auto"/>
          <w:sz w:val="22"/>
          <w:szCs w:val="22"/>
        </w:rPr>
        <w:t xml:space="preserve"> </w:t>
      </w:r>
      <w:r w:rsidRPr="00370068">
        <w:rPr>
          <w:rFonts w:ascii="Arial" w:hAnsi="Arial" w:cs="Arial"/>
          <w:color w:val="auto"/>
          <w:sz w:val="22"/>
          <w:szCs w:val="22"/>
        </w:rPr>
        <w:t>medida está en el documento del PAI del PROURE que hace parte integral de la presente Resolución.</w:t>
      </w:r>
    </w:p>
    <w:p w14:paraId="1E90102A" w14:textId="77777777" w:rsidR="000E1537" w:rsidRPr="00370068" w:rsidRDefault="000E1537" w:rsidP="00370068">
      <w:pPr>
        <w:pStyle w:val="Default"/>
        <w:jc w:val="both"/>
        <w:rPr>
          <w:rFonts w:ascii="Arial" w:hAnsi="Arial" w:cs="Arial"/>
          <w:b/>
          <w:color w:val="auto"/>
          <w:sz w:val="22"/>
          <w:szCs w:val="22"/>
        </w:rPr>
      </w:pPr>
    </w:p>
    <w:p w14:paraId="17C8D21C" w14:textId="77777777" w:rsidR="000E1537" w:rsidRPr="00370068" w:rsidRDefault="000E1537" w:rsidP="00370068">
      <w:pPr>
        <w:pStyle w:val="Default"/>
        <w:jc w:val="both"/>
        <w:rPr>
          <w:rFonts w:ascii="Arial" w:hAnsi="Arial" w:cs="Arial"/>
          <w:color w:val="auto"/>
          <w:sz w:val="22"/>
          <w:szCs w:val="22"/>
        </w:rPr>
      </w:pPr>
      <w:r w:rsidRPr="00370068">
        <w:rPr>
          <w:rFonts w:ascii="Arial" w:hAnsi="Arial" w:cs="Arial"/>
          <w:b/>
          <w:color w:val="auto"/>
          <w:sz w:val="22"/>
          <w:szCs w:val="22"/>
        </w:rPr>
        <w:t xml:space="preserve">Artículo 7° </w:t>
      </w:r>
      <w:r w:rsidRPr="00370068">
        <w:rPr>
          <w:rFonts w:ascii="Arial" w:hAnsi="Arial" w:cs="Arial"/>
          <w:color w:val="auto"/>
          <w:sz w:val="22"/>
          <w:szCs w:val="22"/>
        </w:rPr>
        <w:t xml:space="preserve">Definir las estrategias y acciones base para el cumplimiento de metas sectoriales del Plan de Acción Indicativo 2017-2022 para el desarrollo </w:t>
      </w:r>
      <w:r w:rsidRPr="00370068">
        <w:rPr>
          <w:rFonts w:ascii="Arial" w:hAnsi="Arial" w:cs="Arial"/>
          <w:i/>
          <w:color w:val="auto"/>
          <w:sz w:val="22"/>
          <w:szCs w:val="22"/>
        </w:rPr>
        <w:t xml:space="preserve">del </w:t>
      </w:r>
      <w:r w:rsidRPr="00370068">
        <w:rPr>
          <w:rFonts w:ascii="Arial" w:hAnsi="Arial" w:cs="Arial"/>
          <w:i/>
          <w:iCs/>
          <w:color w:val="auto"/>
          <w:sz w:val="22"/>
          <w:szCs w:val="22"/>
        </w:rPr>
        <w:t>PROURE</w:t>
      </w:r>
      <w:r w:rsidRPr="00370068">
        <w:rPr>
          <w:rFonts w:ascii="Arial" w:hAnsi="Arial" w:cs="Arial"/>
          <w:color w:val="auto"/>
          <w:sz w:val="22"/>
          <w:szCs w:val="22"/>
        </w:rPr>
        <w:t>:</w:t>
      </w:r>
      <w:bookmarkStart w:id="0" w:name="_Toc462059331"/>
    </w:p>
    <w:p w14:paraId="0E312E27" w14:textId="77777777" w:rsidR="000E1537" w:rsidRPr="00370068" w:rsidRDefault="000E1537" w:rsidP="00370068">
      <w:pPr>
        <w:pStyle w:val="Default"/>
        <w:jc w:val="both"/>
        <w:rPr>
          <w:rFonts w:ascii="Arial" w:hAnsi="Arial" w:cs="Arial"/>
          <w:color w:val="auto"/>
          <w:sz w:val="22"/>
          <w:szCs w:val="22"/>
        </w:rPr>
      </w:pPr>
    </w:p>
    <w:p w14:paraId="0FC44791" w14:textId="77777777" w:rsidR="000E1537" w:rsidRPr="00370068" w:rsidRDefault="000E1537" w:rsidP="00370068">
      <w:pPr>
        <w:pStyle w:val="Default"/>
        <w:jc w:val="both"/>
        <w:rPr>
          <w:rFonts w:ascii="Arial" w:hAnsi="Arial" w:cs="Arial"/>
          <w:szCs w:val="22"/>
        </w:rPr>
      </w:pPr>
      <w:r w:rsidRPr="00370068">
        <w:rPr>
          <w:rFonts w:ascii="Arial" w:hAnsi="Arial" w:cs="Arial"/>
          <w:color w:val="auto"/>
          <w:sz w:val="22"/>
          <w:szCs w:val="22"/>
        </w:rPr>
        <w:t xml:space="preserve">A. </w:t>
      </w:r>
      <w:r w:rsidRPr="00370068">
        <w:rPr>
          <w:rFonts w:ascii="Arial" w:hAnsi="Arial" w:cs="Arial"/>
          <w:szCs w:val="22"/>
        </w:rPr>
        <w:t>Institucionalidad</w:t>
      </w:r>
      <w:bookmarkEnd w:id="0"/>
      <w:r w:rsidRPr="00370068">
        <w:rPr>
          <w:rFonts w:ascii="Arial" w:hAnsi="Arial" w:cs="Arial"/>
          <w:szCs w:val="22"/>
        </w:rPr>
        <w:t>.</w:t>
      </w:r>
    </w:p>
    <w:p w14:paraId="77FA3E65" w14:textId="77777777" w:rsidR="000E1537" w:rsidRPr="00370068" w:rsidRDefault="000E1537" w:rsidP="00370068">
      <w:pPr>
        <w:pStyle w:val="Default"/>
        <w:jc w:val="both"/>
        <w:rPr>
          <w:rFonts w:ascii="Arial" w:hAnsi="Arial" w:cs="Arial"/>
          <w:szCs w:val="22"/>
        </w:rPr>
      </w:pPr>
      <w:r w:rsidRPr="00370068">
        <w:rPr>
          <w:rFonts w:ascii="Arial" w:hAnsi="Arial" w:cs="Arial"/>
          <w:szCs w:val="22"/>
        </w:rPr>
        <w:t>B. Consolidación de un mercado activo de EE.</w:t>
      </w:r>
    </w:p>
    <w:p w14:paraId="563895C9" w14:textId="77777777" w:rsidR="000E1537" w:rsidRPr="00370068" w:rsidRDefault="000E1537" w:rsidP="00370068">
      <w:pPr>
        <w:pStyle w:val="Default"/>
        <w:jc w:val="both"/>
        <w:rPr>
          <w:rFonts w:ascii="Arial" w:hAnsi="Arial" w:cs="Arial"/>
          <w:szCs w:val="22"/>
          <w:u w:val="single"/>
        </w:rPr>
      </w:pPr>
      <w:r w:rsidRPr="00370068">
        <w:rPr>
          <w:rFonts w:ascii="Arial" w:hAnsi="Arial" w:cs="Arial"/>
          <w:szCs w:val="22"/>
        </w:rPr>
        <w:t>C. Educación, innovación y desarrollo tecnológico.</w:t>
      </w:r>
    </w:p>
    <w:p w14:paraId="53D72BD7" w14:textId="77777777" w:rsidR="000E1537" w:rsidRPr="00370068" w:rsidRDefault="000E1537" w:rsidP="00370068">
      <w:pPr>
        <w:pStyle w:val="Default"/>
        <w:jc w:val="both"/>
        <w:rPr>
          <w:rFonts w:ascii="Arial" w:hAnsi="Arial" w:cs="Arial"/>
          <w:color w:val="FF0000"/>
          <w:sz w:val="22"/>
          <w:szCs w:val="22"/>
          <w:u w:val="single"/>
        </w:rPr>
      </w:pPr>
      <w:r w:rsidRPr="00370068">
        <w:rPr>
          <w:rFonts w:ascii="Arial" w:hAnsi="Arial" w:cs="Arial"/>
          <w:szCs w:val="22"/>
        </w:rPr>
        <w:t>D. Reglamentos y Normas Técnicas.</w:t>
      </w:r>
    </w:p>
    <w:p w14:paraId="00B9BF8F" w14:textId="77777777" w:rsidR="000E1537" w:rsidRPr="00370068" w:rsidRDefault="000E1537" w:rsidP="00370068">
      <w:pPr>
        <w:pStyle w:val="Default"/>
        <w:jc w:val="both"/>
        <w:rPr>
          <w:rFonts w:ascii="Arial" w:hAnsi="Arial" w:cs="Arial"/>
          <w:szCs w:val="22"/>
        </w:rPr>
      </w:pPr>
      <w:r w:rsidRPr="00370068">
        <w:rPr>
          <w:rFonts w:ascii="Arial" w:hAnsi="Arial" w:cs="Arial"/>
          <w:szCs w:val="22"/>
        </w:rPr>
        <w:t>E. Edificaciones.</w:t>
      </w:r>
    </w:p>
    <w:p w14:paraId="70F68C5D" w14:textId="77777777" w:rsidR="000E1537" w:rsidRPr="00370068" w:rsidRDefault="000E1537" w:rsidP="00370068">
      <w:pPr>
        <w:pStyle w:val="Default"/>
        <w:jc w:val="both"/>
        <w:rPr>
          <w:rFonts w:ascii="Arial" w:hAnsi="Arial" w:cs="Arial"/>
          <w:szCs w:val="22"/>
        </w:rPr>
      </w:pPr>
    </w:p>
    <w:p w14:paraId="3D73CD90" w14:textId="4E6B2EE8" w:rsidR="000E1537" w:rsidRPr="00370068" w:rsidRDefault="000E1537" w:rsidP="00370068">
      <w:pPr>
        <w:pStyle w:val="Default"/>
        <w:jc w:val="both"/>
        <w:rPr>
          <w:rFonts w:ascii="Arial" w:hAnsi="Arial" w:cs="Arial"/>
          <w:color w:val="auto"/>
          <w:sz w:val="22"/>
          <w:szCs w:val="22"/>
        </w:rPr>
      </w:pPr>
      <w:r w:rsidRPr="00370068">
        <w:rPr>
          <w:rFonts w:ascii="Arial" w:hAnsi="Arial" w:cs="Arial"/>
          <w:b/>
          <w:szCs w:val="22"/>
        </w:rPr>
        <w:t xml:space="preserve">Artículo 8º. </w:t>
      </w:r>
      <w:r w:rsidRPr="00370068">
        <w:rPr>
          <w:rFonts w:ascii="Arial" w:hAnsi="Arial" w:cs="Arial"/>
          <w:color w:val="auto"/>
          <w:sz w:val="22"/>
          <w:szCs w:val="22"/>
        </w:rPr>
        <w:t xml:space="preserve">Incluir como parte del PAI, los programas regionales de eficiencia energética y particularmente, el programa de eficiencia energética del Archipiélago de San Andrés, Providencia y Santa Catalina, que se encuentra en </w:t>
      </w:r>
      <w:r w:rsidR="00A92382">
        <w:rPr>
          <w:rFonts w:ascii="Arial" w:hAnsi="Arial" w:cs="Arial"/>
          <w:color w:val="auto"/>
          <w:sz w:val="22"/>
          <w:szCs w:val="22"/>
        </w:rPr>
        <w:t xml:space="preserve">su </w:t>
      </w:r>
      <w:r w:rsidRPr="00370068">
        <w:rPr>
          <w:rFonts w:ascii="Arial" w:hAnsi="Arial" w:cs="Arial"/>
          <w:color w:val="auto"/>
          <w:sz w:val="22"/>
          <w:szCs w:val="22"/>
        </w:rPr>
        <w:t>fase de inicio.</w:t>
      </w:r>
    </w:p>
    <w:p w14:paraId="1EA1E368" w14:textId="77777777" w:rsidR="000E1537" w:rsidRPr="00370068" w:rsidRDefault="000E1537" w:rsidP="00370068">
      <w:pPr>
        <w:pStyle w:val="Default"/>
        <w:jc w:val="both"/>
        <w:rPr>
          <w:rFonts w:ascii="Arial" w:hAnsi="Arial" w:cs="Arial"/>
          <w:b/>
          <w:szCs w:val="22"/>
        </w:rPr>
      </w:pPr>
    </w:p>
    <w:p w14:paraId="439DDB4E" w14:textId="00F3564C" w:rsidR="000E1537" w:rsidRPr="00A92382" w:rsidRDefault="000E1537" w:rsidP="00370068">
      <w:pPr>
        <w:pStyle w:val="Default"/>
        <w:jc w:val="both"/>
        <w:rPr>
          <w:rFonts w:ascii="Arial" w:hAnsi="Arial" w:cs="Arial"/>
          <w:sz w:val="22"/>
          <w:szCs w:val="22"/>
        </w:rPr>
      </w:pPr>
      <w:r w:rsidRPr="00A92382">
        <w:rPr>
          <w:rFonts w:ascii="Arial" w:hAnsi="Arial" w:cs="Arial"/>
          <w:b/>
          <w:sz w:val="22"/>
          <w:szCs w:val="22"/>
        </w:rPr>
        <w:t>Artículo 9º.</w:t>
      </w:r>
      <w:r w:rsidRPr="00A92382">
        <w:rPr>
          <w:rFonts w:ascii="Arial" w:hAnsi="Arial" w:cs="Arial"/>
          <w:sz w:val="22"/>
          <w:szCs w:val="22"/>
        </w:rPr>
        <w:t xml:space="preserve"> Incluir como parte del PAI, las opciones de mejoramiento de la eficiencia energética para la generación de electricidad, a partir de, entre otras: i) la optimización de las plantas térmicas a carbón y a gas, ii) la promoción de la autogeneración y cogeneración y iii) la implementación de la generación distribuida.</w:t>
      </w:r>
    </w:p>
    <w:p w14:paraId="19F326F7" w14:textId="77777777" w:rsidR="000E1537" w:rsidRPr="00370068" w:rsidRDefault="000E1537" w:rsidP="00370068">
      <w:pPr>
        <w:pStyle w:val="Default"/>
        <w:jc w:val="both"/>
        <w:rPr>
          <w:rFonts w:ascii="Arial" w:hAnsi="Arial" w:cs="Arial"/>
          <w:i/>
          <w:szCs w:val="22"/>
        </w:rPr>
      </w:pPr>
    </w:p>
    <w:p w14:paraId="202A8D3A" w14:textId="77777777" w:rsidR="000E1537" w:rsidRPr="00A92382" w:rsidRDefault="000E1537" w:rsidP="00A92382">
      <w:pPr>
        <w:pStyle w:val="Prrafodelista"/>
        <w:ind w:left="0"/>
        <w:jc w:val="both"/>
        <w:rPr>
          <w:rFonts w:ascii="Arial" w:hAnsi="Arial" w:cs="Arial"/>
          <w:sz w:val="22"/>
        </w:rPr>
      </w:pPr>
      <w:r w:rsidRPr="00A92382">
        <w:rPr>
          <w:rFonts w:ascii="Arial" w:hAnsi="Arial" w:cs="Arial"/>
          <w:b/>
          <w:sz w:val="22"/>
        </w:rPr>
        <w:t xml:space="preserve">Artículo 10º. </w:t>
      </w:r>
      <w:r w:rsidRPr="00A92382">
        <w:rPr>
          <w:rFonts w:ascii="Arial" w:hAnsi="Arial" w:cs="Arial"/>
          <w:sz w:val="22"/>
        </w:rPr>
        <w:t>El seguimiento y evaluación del</w:t>
      </w:r>
      <w:r w:rsidRPr="00A92382">
        <w:rPr>
          <w:rFonts w:ascii="Arial" w:hAnsi="Arial" w:cs="Arial"/>
          <w:b/>
          <w:sz w:val="22"/>
        </w:rPr>
        <w:t xml:space="preserve"> </w:t>
      </w:r>
      <w:r w:rsidRPr="00A92382">
        <w:rPr>
          <w:rFonts w:ascii="Arial" w:hAnsi="Arial" w:cs="Arial"/>
          <w:sz w:val="22"/>
        </w:rPr>
        <w:t xml:space="preserve">Plan  de Acción Indicativo 2017-2022 para el desarrollo </w:t>
      </w:r>
      <w:r w:rsidRPr="00A92382">
        <w:rPr>
          <w:rFonts w:ascii="Arial" w:hAnsi="Arial" w:cs="Arial"/>
          <w:i/>
          <w:sz w:val="22"/>
        </w:rPr>
        <w:t xml:space="preserve">del </w:t>
      </w:r>
      <w:r w:rsidRPr="00A92382">
        <w:rPr>
          <w:rFonts w:ascii="Arial" w:hAnsi="Arial" w:cs="Arial"/>
          <w:i/>
          <w:iCs/>
          <w:sz w:val="22"/>
        </w:rPr>
        <w:t>PROURE</w:t>
      </w:r>
      <w:r w:rsidRPr="00A92382">
        <w:rPr>
          <w:rFonts w:ascii="Arial" w:hAnsi="Arial" w:cs="Arial"/>
          <w:sz w:val="22"/>
        </w:rPr>
        <w:t xml:space="preserve">, se realizará por intermedio de la Comisión Intersectorial para el uso racional y eficiente de la energía y fuentes no convencionales de energía – CIURE. </w:t>
      </w:r>
    </w:p>
    <w:p w14:paraId="1B78A617" w14:textId="77777777" w:rsidR="000E1537" w:rsidRPr="00370068" w:rsidRDefault="000E1537" w:rsidP="00370068">
      <w:pPr>
        <w:pStyle w:val="Prrafodelista"/>
        <w:ind w:left="0"/>
        <w:rPr>
          <w:rFonts w:ascii="Arial" w:hAnsi="Arial" w:cs="Arial"/>
          <w:b/>
        </w:rPr>
      </w:pPr>
    </w:p>
    <w:p w14:paraId="7E8886C9" w14:textId="77777777" w:rsidR="000E1537" w:rsidRPr="00A92382" w:rsidRDefault="000E1537" w:rsidP="00A92382">
      <w:pPr>
        <w:pStyle w:val="Prrafodelista"/>
        <w:ind w:left="0"/>
        <w:jc w:val="both"/>
        <w:rPr>
          <w:rFonts w:ascii="Arial" w:hAnsi="Arial" w:cs="Arial"/>
          <w:sz w:val="22"/>
          <w:szCs w:val="22"/>
        </w:rPr>
      </w:pPr>
      <w:r w:rsidRPr="00A92382">
        <w:rPr>
          <w:rFonts w:ascii="Arial" w:hAnsi="Arial" w:cs="Arial"/>
          <w:b/>
          <w:sz w:val="22"/>
          <w:szCs w:val="22"/>
        </w:rPr>
        <w:t>Artículo 11º</w:t>
      </w:r>
      <w:r w:rsidRPr="00A92382">
        <w:rPr>
          <w:rFonts w:ascii="Arial" w:hAnsi="Arial" w:cs="Arial"/>
          <w:sz w:val="22"/>
          <w:szCs w:val="22"/>
        </w:rPr>
        <w:t>. Los subprogramas y proyectos definidos en la Resolución 180919 de 2010, se entenderán incluidos dentro de las  acciones y medidas sectoriales, así como dentro de estrategias y acciones base, establecidas en los artículos 6 y 7 de la presente Resolución, según corresponda.</w:t>
      </w:r>
    </w:p>
    <w:p w14:paraId="56A7C355" w14:textId="77777777" w:rsidR="000E1537" w:rsidRPr="00A92382" w:rsidRDefault="000E1537" w:rsidP="00A92382">
      <w:pPr>
        <w:pStyle w:val="Prrafodelista"/>
        <w:tabs>
          <w:tab w:val="left" w:pos="2565"/>
        </w:tabs>
        <w:ind w:left="0"/>
        <w:jc w:val="both"/>
        <w:rPr>
          <w:rFonts w:ascii="Arial" w:hAnsi="Arial" w:cs="Arial"/>
          <w:b/>
          <w:sz w:val="22"/>
          <w:szCs w:val="22"/>
        </w:rPr>
      </w:pPr>
      <w:r w:rsidRPr="00A92382">
        <w:rPr>
          <w:rFonts w:ascii="Arial" w:hAnsi="Arial" w:cs="Arial"/>
          <w:b/>
          <w:sz w:val="22"/>
          <w:szCs w:val="22"/>
        </w:rPr>
        <w:tab/>
      </w:r>
    </w:p>
    <w:p w14:paraId="7CFD6685" w14:textId="5F5145A0" w:rsidR="000E1537" w:rsidRPr="00A92382" w:rsidRDefault="000E1537" w:rsidP="00A92382">
      <w:pPr>
        <w:jc w:val="both"/>
        <w:rPr>
          <w:rFonts w:ascii="Arial" w:hAnsi="Arial" w:cs="Arial"/>
          <w:sz w:val="22"/>
          <w:szCs w:val="22"/>
        </w:rPr>
      </w:pPr>
      <w:r w:rsidRPr="00A92382">
        <w:rPr>
          <w:rFonts w:ascii="Arial" w:hAnsi="Arial" w:cs="Arial"/>
          <w:b/>
          <w:sz w:val="22"/>
          <w:szCs w:val="22"/>
        </w:rPr>
        <w:t xml:space="preserve">Artículo12º.  Vigencia.  </w:t>
      </w:r>
      <w:r w:rsidRPr="00A92382">
        <w:rPr>
          <w:rFonts w:ascii="Arial" w:hAnsi="Arial" w:cs="Arial"/>
          <w:sz w:val="22"/>
          <w:szCs w:val="22"/>
        </w:rPr>
        <w:t>La  presente resolución rige a partir de la fecha su publicación y deroga todas aquellas disposiciones que le sean contrarias, en particular</w:t>
      </w:r>
      <w:r w:rsidRPr="00A92382">
        <w:rPr>
          <w:rFonts w:ascii="Arial" w:hAnsi="Arial" w:cs="Arial"/>
          <w:b/>
          <w:sz w:val="22"/>
          <w:szCs w:val="22"/>
        </w:rPr>
        <w:t xml:space="preserve"> </w:t>
      </w:r>
      <w:r w:rsidRPr="00A92382">
        <w:rPr>
          <w:rFonts w:ascii="Arial" w:hAnsi="Arial" w:cs="Arial"/>
          <w:sz w:val="22"/>
          <w:szCs w:val="22"/>
        </w:rPr>
        <w:t xml:space="preserve">la Resolución </w:t>
      </w:r>
      <w:r w:rsidR="00042A4A">
        <w:rPr>
          <w:rFonts w:ascii="Arial" w:hAnsi="Arial" w:cs="Arial"/>
          <w:sz w:val="22"/>
          <w:szCs w:val="22"/>
        </w:rPr>
        <w:t xml:space="preserve"> </w:t>
      </w:r>
      <w:r w:rsidRPr="00A92382">
        <w:rPr>
          <w:rFonts w:ascii="Arial" w:hAnsi="Arial" w:cs="Arial"/>
          <w:sz w:val="22"/>
          <w:szCs w:val="22"/>
        </w:rPr>
        <w:t>180919 de 2010 y las resoluciones que prorrogan su vigencia, proferidas por el Ministerio de Minas y Energía.</w:t>
      </w:r>
    </w:p>
    <w:p w14:paraId="205309EF" w14:textId="77777777" w:rsidR="000E1537" w:rsidRDefault="000E1537" w:rsidP="00370068">
      <w:pPr>
        <w:rPr>
          <w:rFonts w:ascii="Arial" w:hAnsi="Arial" w:cs="Arial"/>
          <w:b/>
          <w:sz w:val="22"/>
        </w:rPr>
      </w:pPr>
    </w:p>
    <w:p w14:paraId="05935ED3" w14:textId="77777777" w:rsidR="00A92382" w:rsidRPr="00370068" w:rsidRDefault="00A92382" w:rsidP="00370068">
      <w:pPr>
        <w:rPr>
          <w:rFonts w:ascii="Arial" w:hAnsi="Arial" w:cs="Arial"/>
          <w:b/>
          <w:sz w:val="22"/>
        </w:rPr>
      </w:pPr>
    </w:p>
    <w:p w14:paraId="7E33C4BA" w14:textId="6B2ECC54" w:rsidR="000E1537" w:rsidRPr="00370068" w:rsidRDefault="000E1537" w:rsidP="00370068">
      <w:pPr>
        <w:jc w:val="center"/>
        <w:rPr>
          <w:rFonts w:ascii="Arial" w:hAnsi="Arial" w:cs="Arial"/>
          <w:sz w:val="22"/>
          <w:szCs w:val="22"/>
        </w:rPr>
      </w:pPr>
      <w:r w:rsidRPr="00370068">
        <w:rPr>
          <w:rFonts w:ascii="Arial" w:hAnsi="Arial" w:cs="Arial"/>
          <w:b/>
          <w:sz w:val="22"/>
          <w:szCs w:val="22"/>
        </w:rPr>
        <w:t>PUBLÍQUESE</w:t>
      </w:r>
      <w:r w:rsidRPr="00370068">
        <w:rPr>
          <w:rFonts w:ascii="Arial" w:hAnsi="Arial" w:cs="Arial"/>
          <w:b/>
          <w:sz w:val="22"/>
          <w:szCs w:val="22"/>
        </w:rPr>
        <w:t xml:space="preserve"> Y CÚMPLASE</w:t>
      </w:r>
      <w:r w:rsidRPr="00370068">
        <w:rPr>
          <w:rFonts w:ascii="Arial" w:hAnsi="Arial" w:cs="Arial"/>
          <w:sz w:val="22"/>
          <w:szCs w:val="22"/>
        </w:rPr>
        <w:br/>
        <w:t>Dada en Bogotá, D. C.,</w:t>
      </w:r>
    </w:p>
    <w:p w14:paraId="16E7CC79" w14:textId="77777777" w:rsidR="000E1537" w:rsidRPr="00370068" w:rsidRDefault="000E1537" w:rsidP="00370068">
      <w:pPr>
        <w:pStyle w:val="Prrafodelista"/>
        <w:ind w:left="360"/>
        <w:rPr>
          <w:rFonts w:ascii="Arial" w:hAnsi="Arial" w:cs="Arial"/>
        </w:rPr>
      </w:pPr>
    </w:p>
    <w:p w14:paraId="559BFA46" w14:textId="30566DEF" w:rsidR="000E1537" w:rsidRPr="00A92382" w:rsidRDefault="000E1537" w:rsidP="00370068">
      <w:pPr>
        <w:pStyle w:val="Prrafodelista"/>
        <w:ind w:left="0"/>
        <w:outlineLvl w:val="0"/>
        <w:rPr>
          <w:rFonts w:ascii="Arial" w:hAnsi="Arial" w:cs="Arial"/>
          <w:sz w:val="22"/>
        </w:rPr>
      </w:pPr>
      <w:r w:rsidRPr="00A92382">
        <w:rPr>
          <w:rFonts w:ascii="Arial" w:hAnsi="Arial" w:cs="Arial"/>
          <w:sz w:val="22"/>
        </w:rPr>
        <w:t xml:space="preserve">Dada en Bogotá, D. C., a los </w:t>
      </w:r>
      <w:r w:rsidR="00042A4A">
        <w:rPr>
          <w:rFonts w:ascii="Arial" w:hAnsi="Arial" w:cs="Arial"/>
          <w:sz w:val="22"/>
        </w:rPr>
        <w:t>______</w:t>
      </w:r>
      <w:r w:rsidRPr="00A92382">
        <w:rPr>
          <w:rFonts w:ascii="Arial" w:hAnsi="Arial" w:cs="Arial"/>
          <w:sz w:val="22"/>
        </w:rPr>
        <w:t xml:space="preserve"> días del mes de diciembre de 2016.</w:t>
      </w:r>
    </w:p>
    <w:p w14:paraId="5BDD31BC" w14:textId="77777777" w:rsidR="000E1537" w:rsidRPr="00370068" w:rsidRDefault="000E1537" w:rsidP="00370068">
      <w:pPr>
        <w:pStyle w:val="Prrafodelista"/>
        <w:ind w:left="360"/>
        <w:rPr>
          <w:rFonts w:ascii="Arial" w:hAnsi="Arial" w:cs="Arial"/>
        </w:rPr>
      </w:pPr>
    </w:p>
    <w:p w14:paraId="4FC9DF20" w14:textId="77777777" w:rsidR="000E1537" w:rsidRDefault="000E1537" w:rsidP="00370068">
      <w:pPr>
        <w:pStyle w:val="Prrafodelista"/>
        <w:ind w:left="360"/>
        <w:rPr>
          <w:rFonts w:ascii="Arial" w:hAnsi="Arial" w:cs="Arial"/>
        </w:rPr>
      </w:pPr>
    </w:p>
    <w:p w14:paraId="01A98A44" w14:textId="77777777" w:rsidR="00A92382" w:rsidRDefault="00A92382" w:rsidP="00370068">
      <w:pPr>
        <w:pStyle w:val="Prrafodelista"/>
        <w:ind w:left="360"/>
        <w:rPr>
          <w:rFonts w:ascii="Arial" w:hAnsi="Arial" w:cs="Arial"/>
        </w:rPr>
      </w:pPr>
    </w:p>
    <w:p w14:paraId="00DCBCC3" w14:textId="77777777" w:rsidR="00042A4A" w:rsidRDefault="00042A4A" w:rsidP="00370068">
      <w:pPr>
        <w:pStyle w:val="Prrafodelista"/>
        <w:ind w:left="360"/>
        <w:rPr>
          <w:rFonts w:ascii="Arial" w:hAnsi="Arial" w:cs="Arial"/>
        </w:rPr>
      </w:pPr>
    </w:p>
    <w:p w14:paraId="2F422596" w14:textId="77777777" w:rsidR="00042A4A" w:rsidRDefault="00042A4A" w:rsidP="00370068">
      <w:pPr>
        <w:pStyle w:val="Prrafodelista"/>
        <w:ind w:left="360"/>
        <w:rPr>
          <w:rFonts w:ascii="Arial" w:hAnsi="Arial" w:cs="Arial"/>
        </w:rPr>
      </w:pPr>
    </w:p>
    <w:p w14:paraId="17A8AD6F" w14:textId="77777777" w:rsidR="00042A4A" w:rsidRDefault="00042A4A" w:rsidP="00370068">
      <w:pPr>
        <w:pStyle w:val="Prrafodelista"/>
        <w:ind w:left="360"/>
        <w:rPr>
          <w:rFonts w:ascii="Arial" w:hAnsi="Arial" w:cs="Arial"/>
        </w:rPr>
      </w:pPr>
    </w:p>
    <w:p w14:paraId="3D12344F" w14:textId="77777777" w:rsidR="00042A4A" w:rsidRDefault="00042A4A" w:rsidP="00370068">
      <w:pPr>
        <w:pStyle w:val="Prrafodelista"/>
        <w:ind w:left="360"/>
        <w:rPr>
          <w:rFonts w:ascii="Arial" w:hAnsi="Arial" w:cs="Arial"/>
        </w:rPr>
      </w:pPr>
    </w:p>
    <w:p w14:paraId="6A70DA3A" w14:textId="77777777" w:rsidR="00042A4A" w:rsidRDefault="00042A4A" w:rsidP="00370068">
      <w:pPr>
        <w:pStyle w:val="Prrafodelista"/>
        <w:ind w:left="360"/>
        <w:rPr>
          <w:rFonts w:ascii="Arial" w:hAnsi="Arial" w:cs="Arial"/>
        </w:rPr>
      </w:pPr>
    </w:p>
    <w:p w14:paraId="7E6D86A3" w14:textId="77777777" w:rsidR="00042A4A" w:rsidRDefault="00042A4A" w:rsidP="00370068">
      <w:pPr>
        <w:pStyle w:val="Prrafodelista"/>
        <w:ind w:left="360"/>
        <w:rPr>
          <w:rFonts w:ascii="Arial" w:hAnsi="Arial" w:cs="Arial"/>
        </w:rPr>
      </w:pPr>
    </w:p>
    <w:p w14:paraId="0E81A2B3" w14:textId="77777777" w:rsidR="000E1537" w:rsidRPr="00A92382" w:rsidRDefault="000E1537" w:rsidP="00370068">
      <w:pPr>
        <w:pStyle w:val="Prrafodelista"/>
        <w:ind w:left="0"/>
        <w:jc w:val="center"/>
        <w:rPr>
          <w:rFonts w:ascii="Arial" w:hAnsi="Arial" w:cs="Arial"/>
          <w:b/>
          <w:sz w:val="22"/>
        </w:rPr>
      </w:pPr>
      <w:r w:rsidRPr="00A92382">
        <w:rPr>
          <w:rFonts w:ascii="Arial" w:hAnsi="Arial" w:cs="Arial"/>
          <w:b/>
          <w:sz w:val="22"/>
        </w:rPr>
        <w:t>GERMÁN ARCE ZAPATA</w:t>
      </w:r>
    </w:p>
    <w:p w14:paraId="4B9CD3BA" w14:textId="5BFE1EC7" w:rsidR="000E1537" w:rsidRPr="00370068" w:rsidRDefault="000E1537" w:rsidP="00703148">
      <w:pPr>
        <w:pStyle w:val="Prrafodelista"/>
        <w:ind w:left="0"/>
        <w:jc w:val="center"/>
        <w:rPr>
          <w:rFonts w:ascii="Arial" w:hAnsi="Arial" w:cs="Arial"/>
          <w:sz w:val="22"/>
          <w:szCs w:val="22"/>
        </w:rPr>
      </w:pPr>
      <w:r w:rsidRPr="00A92382">
        <w:rPr>
          <w:rFonts w:ascii="Arial" w:hAnsi="Arial" w:cs="Arial"/>
          <w:sz w:val="22"/>
        </w:rPr>
        <w:t>Ministro de Minas y Energía</w:t>
      </w:r>
    </w:p>
    <w:p w14:paraId="0986AF89" w14:textId="6EDE8A69" w:rsidR="00657608" w:rsidRPr="00370068" w:rsidRDefault="00657608" w:rsidP="00370068">
      <w:pPr>
        <w:ind w:left="709" w:hanging="709"/>
        <w:rPr>
          <w:rFonts w:ascii="Arial" w:hAnsi="Arial" w:cs="Arial"/>
          <w:sz w:val="14"/>
          <w:szCs w:val="16"/>
          <w:lang w:val="es-CO"/>
        </w:rPr>
      </w:pPr>
    </w:p>
    <w:sectPr w:rsidR="00657608" w:rsidRPr="00370068" w:rsidSect="00C042DA">
      <w:headerReference w:type="even" r:id="rId8"/>
      <w:headerReference w:type="default" r:id="rId9"/>
      <w:footerReference w:type="even" r:id="rId10"/>
      <w:footerReference w:type="default" r:id="rId11"/>
      <w:headerReference w:type="first" r:id="rId12"/>
      <w:footerReference w:type="first" r:id="rId13"/>
      <w:pgSz w:w="12240" w:h="18720" w:code="14"/>
      <w:pgMar w:top="2977" w:right="1467" w:bottom="1701"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B4635" w14:textId="77777777" w:rsidR="00717325" w:rsidRDefault="00717325">
      <w:r>
        <w:separator/>
      </w:r>
    </w:p>
  </w:endnote>
  <w:endnote w:type="continuationSeparator" w:id="0">
    <w:p w14:paraId="2D12C739" w14:textId="77777777" w:rsidR="00717325" w:rsidRDefault="0071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G Omega">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155C6" w14:textId="77777777" w:rsidR="00722F4D" w:rsidRDefault="00722F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5A873" w14:textId="77777777" w:rsidR="00C471ED" w:rsidRDefault="00C471ED">
    <w:pPr>
      <w:pStyle w:val="Piedepgina"/>
    </w:pPr>
  </w:p>
  <w:p w14:paraId="407C4D0C" w14:textId="77777777" w:rsidR="00C471ED" w:rsidRDefault="00C471E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1DD4F" w14:textId="77777777" w:rsidR="00722F4D" w:rsidRDefault="00722F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D35E1" w14:textId="77777777" w:rsidR="00717325" w:rsidRDefault="00717325">
      <w:r>
        <w:separator/>
      </w:r>
    </w:p>
  </w:footnote>
  <w:footnote w:type="continuationSeparator" w:id="0">
    <w:p w14:paraId="281A6983" w14:textId="77777777" w:rsidR="00717325" w:rsidRDefault="00717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E53C5" w14:textId="77777777" w:rsidR="00722F4D" w:rsidRDefault="00722F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7E67F" w14:textId="17BD43BD" w:rsidR="00C471ED" w:rsidRDefault="00C471ED">
    <w:pPr>
      <w:pStyle w:val="Encabezado"/>
      <w:rPr>
        <w:rStyle w:val="Nmerodepgina"/>
        <w:b/>
        <w:sz w:val="20"/>
      </w:rPr>
    </w:pPr>
    <w:r>
      <w:rPr>
        <w:b/>
        <w:sz w:val="20"/>
        <w:lang w:val="es-ES_tradnl"/>
      </w:rPr>
      <w:t xml:space="preserve">RESOLUCIÓN No.                            DE                                                                                           Hoja No.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722F4D">
      <w:rPr>
        <w:rStyle w:val="Nmerodepgina"/>
        <w:b/>
        <w:noProof/>
        <w:sz w:val="20"/>
      </w:rPr>
      <w:t>6</w:t>
    </w:r>
    <w:r>
      <w:rPr>
        <w:rStyle w:val="Nmerodepgina"/>
        <w:b/>
        <w:sz w:val="20"/>
      </w:rPr>
      <w:fldChar w:fldCharType="end"/>
    </w:r>
    <w:r w:rsidR="00790F36">
      <w:rPr>
        <w:rStyle w:val="Nmerodepgina"/>
        <w:b/>
        <w:sz w:val="20"/>
      </w:rPr>
      <w:t xml:space="preserve"> de </w:t>
    </w:r>
    <w:r w:rsidR="00722F4D">
      <w:rPr>
        <w:rStyle w:val="Nmerodepgina"/>
        <w:b/>
        <w:sz w:val="20"/>
      </w:rPr>
      <w:t>6</w:t>
    </w:r>
    <w:bookmarkStart w:id="1" w:name="_GoBack"/>
    <w:bookmarkEnd w:id="1"/>
  </w:p>
  <w:p w14:paraId="79C25898" w14:textId="77777777" w:rsidR="00C471ED" w:rsidRDefault="00C471ED">
    <w:pPr>
      <w:pStyle w:val="Encabezado"/>
      <w:jc w:val="center"/>
      <w:rPr>
        <w:rStyle w:val="Nmerodepgina"/>
        <w:sz w:val="20"/>
      </w:rPr>
    </w:pPr>
    <w:r>
      <w:rPr>
        <w:noProof/>
        <w:lang w:val="es-CO" w:eastAsia="es-CO"/>
      </w:rPr>
      <mc:AlternateContent>
        <mc:Choice Requires="wpg">
          <w:drawing>
            <wp:anchor distT="0" distB="0" distL="114300" distR="114300" simplePos="0" relativeHeight="251658240" behindDoc="0" locked="0" layoutInCell="0" allowOverlap="1" wp14:anchorId="56D28BB5" wp14:editId="664678E4">
              <wp:simplePos x="0" y="0"/>
              <wp:positionH relativeFrom="column">
                <wp:posOffset>-298450</wp:posOffset>
              </wp:positionH>
              <wp:positionV relativeFrom="paragraph">
                <wp:posOffset>32385</wp:posOffset>
              </wp:positionV>
              <wp:extent cx="5943600" cy="10097135"/>
              <wp:effectExtent l="0" t="0" r="0" b="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7460B7" id="Group 1" o:spid="_x0000_s1026" style="position:absolute;margin-left:-23.5pt;margin-top:2.55pt;width:468pt;height:795.0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2FCDC3D8" w14:textId="50A665CF" w:rsidR="00C471ED" w:rsidRPr="00500B9C" w:rsidRDefault="00C471ED" w:rsidP="00775BF7">
    <w:pPr>
      <w:pStyle w:val="Textoindependiente"/>
      <w:pBdr>
        <w:bottom w:val="single" w:sz="6" w:space="1" w:color="auto"/>
      </w:pBdr>
      <w:jc w:val="center"/>
      <w:rPr>
        <w:rFonts w:ascii="Arial" w:hAnsi="Arial" w:cs="Arial"/>
        <w:i/>
        <w:sz w:val="20"/>
        <w:szCs w:val="20"/>
        <w:lang w:val="es-CO"/>
      </w:rPr>
    </w:pPr>
    <w:r w:rsidRPr="00500B9C">
      <w:rPr>
        <w:rFonts w:ascii="Arial" w:hAnsi="Arial" w:cs="Arial"/>
        <w:i/>
        <w:sz w:val="20"/>
        <w:szCs w:val="20"/>
        <w:lang w:val="es-CO"/>
      </w:rPr>
      <w:t>Continuación de la Resolución “</w:t>
    </w:r>
    <w:r w:rsidR="00370068" w:rsidRPr="00500B9C">
      <w:rPr>
        <w:rFonts w:ascii="Arial" w:hAnsi="Arial" w:cs="Arial"/>
        <w:i/>
        <w:sz w:val="20"/>
        <w:szCs w:val="20"/>
        <w:lang w:val="es-CO"/>
      </w:rPr>
      <w:t>Por la cual se adopta el Plan de Acción Indicativo 2017-2022 para el desarrollo del Programa de Uso Racional y Eficiente de la Energía, PROURE, que define objetivos y metas indicativas de eficiencia energética, acciones y medidas sectoriales y estrategias base para el cumplimiento de metas y se adoptan otras disposiciones al respecto</w:t>
    </w:r>
    <w:r w:rsidRPr="00500B9C">
      <w:rPr>
        <w:rFonts w:ascii="Arial" w:hAnsi="Arial" w:cs="Arial"/>
        <w:i/>
        <w:sz w:val="20"/>
        <w:szCs w:val="20"/>
        <w:lang w:val="es-CO"/>
      </w:rPr>
      <w:t>”</w:t>
    </w:r>
  </w:p>
  <w:p w14:paraId="03DEFC6E" w14:textId="77777777" w:rsidR="00C471ED" w:rsidRPr="00775BF7" w:rsidRDefault="00C471ED" w:rsidP="00775BF7">
    <w:pPr>
      <w:pStyle w:val="Textoindependiente"/>
      <w:jc w:val="center"/>
      <w:rPr>
        <w:rFonts w:ascii="Arial" w:hAnsi="Arial" w:cs="Arial"/>
        <w:sz w:val="20"/>
        <w:szCs w:val="20"/>
        <w:lang w:val="es-C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348B7" w14:textId="77777777" w:rsidR="00C471ED" w:rsidRDefault="00C471ED">
    <w:pPr>
      <w:pStyle w:val="Encabezado"/>
    </w:pPr>
    <w:r>
      <w:rPr>
        <w:noProof/>
        <w:lang w:val="es-CO" w:eastAsia="es-CO"/>
      </w:rPr>
      <mc:AlternateContent>
        <mc:Choice Requires="wpg">
          <w:drawing>
            <wp:anchor distT="0" distB="0" distL="114300" distR="114300" simplePos="0" relativeHeight="251657216" behindDoc="1" locked="0" layoutInCell="0" allowOverlap="1" wp14:anchorId="3898B060" wp14:editId="54B31BC7">
              <wp:simplePos x="0" y="0"/>
              <wp:positionH relativeFrom="column">
                <wp:posOffset>-303530</wp:posOffset>
              </wp:positionH>
              <wp:positionV relativeFrom="paragraph">
                <wp:posOffset>187960</wp:posOffset>
              </wp:positionV>
              <wp:extent cx="5943600" cy="1004824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0"/>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1"/>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D9761" w14:textId="77777777" w:rsidR="00C471ED" w:rsidRDefault="00C471ED">
                              <w:pPr>
                                <w:jc w:val="right"/>
                                <w:rPr>
                                  <w:b/>
                                </w:rPr>
                              </w:pPr>
                              <w:r>
                                <w:rPr>
                                  <w:b/>
                                </w:rPr>
                                <w:t>MINISTERIO DE MINAS Y ENERGIA</w:t>
                              </w:r>
                            </w:p>
                            <w:p w14:paraId="33E54845" w14:textId="77777777" w:rsidR="00C471ED" w:rsidRDefault="00C471ED">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E2F95" w14:textId="77777777" w:rsidR="00C471ED" w:rsidRDefault="00C471ED">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98B060" id="Group 16" o:spid="_x0000_s1026" style="position:absolute;margin-left:-23.9pt;margin-top:14.8pt;width:468pt;height:791.2pt;z-index:-251659264"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763D9761" w14:textId="77777777" w:rsidR="00C471ED" w:rsidRDefault="00C471ED">
                        <w:pPr>
                          <w:jc w:val="right"/>
                          <w:rPr>
                            <w:b/>
                          </w:rPr>
                        </w:pPr>
                        <w:r>
                          <w:rPr>
                            <w:b/>
                          </w:rPr>
                          <w:t>MINISTERIO DE MINAS Y ENERGIA</w:t>
                        </w:r>
                      </w:p>
                      <w:p w14:paraId="33E54845" w14:textId="77777777" w:rsidR="00C471ED" w:rsidRDefault="00C471ED">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1DFE2F95" w14:textId="77777777" w:rsidR="00C471ED" w:rsidRDefault="00C471ED">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0020"/>
    <w:multiLevelType w:val="hybridMultilevel"/>
    <w:tmpl w:val="0C600FB6"/>
    <w:lvl w:ilvl="0" w:tplc="21D6500C">
      <w:start w:val="1"/>
      <w:numFmt w:val="decimal"/>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F2F29"/>
    <w:multiLevelType w:val="hybridMultilevel"/>
    <w:tmpl w:val="D060AB8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3C3195"/>
    <w:multiLevelType w:val="hybridMultilevel"/>
    <w:tmpl w:val="AF98E08E"/>
    <w:lvl w:ilvl="0" w:tplc="13EEE6F8">
      <w:start w:val="1"/>
      <w:numFmt w:val="decimal"/>
      <w:lvlText w:val="%1."/>
      <w:lvlJc w:val="left"/>
      <w:pPr>
        <w:ind w:left="121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9F60AB8"/>
    <w:multiLevelType w:val="hybridMultilevel"/>
    <w:tmpl w:val="F3443996"/>
    <w:lvl w:ilvl="0" w:tplc="E506B754">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A8276C4"/>
    <w:multiLevelType w:val="hybridMultilevel"/>
    <w:tmpl w:val="5EDA6D5C"/>
    <w:lvl w:ilvl="0" w:tplc="580EA514">
      <w:start w:val="2"/>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2A9A0563"/>
    <w:multiLevelType w:val="hybridMultilevel"/>
    <w:tmpl w:val="AF002ECC"/>
    <w:lvl w:ilvl="0" w:tplc="100E374C">
      <w:start w:val="1"/>
      <w:numFmt w:val="bullet"/>
      <w:lvlText w:val=""/>
      <w:lvlJc w:val="left"/>
      <w:pPr>
        <w:ind w:left="720" w:hanging="360"/>
      </w:pPr>
      <w:rPr>
        <w:rFonts w:ascii="Wingdings" w:hAnsi="Wingdings" w:hint="default"/>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C6D05D3"/>
    <w:multiLevelType w:val="hybridMultilevel"/>
    <w:tmpl w:val="575E1474"/>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C725FA6"/>
    <w:multiLevelType w:val="hybridMultilevel"/>
    <w:tmpl w:val="7B76BDC4"/>
    <w:lvl w:ilvl="0" w:tplc="100E374C">
      <w:start w:val="1"/>
      <w:numFmt w:val="bullet"/>
      <w:lvlText w:val=""/>
      <w:lvlJc w:val="left"/>
      <w:pPr>
        <w:ind w:left="360" w:hanging="360"/>
      </w:pPr>
      <w:rPr>
        <w:rFonts w:ascii="Wingdings" w:hAnsi="Wingdings" w:hint="default"/>
        <w:sz w:val="18"/>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FA9157E"/>
    <w:multiLevelType w:val="hybridMultilevel"/>
    <w:tmpl w:val="648CEF30"/>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4AB44BD"/>
    <w:multiLevelType w:val="hybridMultilevel"/>
    <w:tmpl w:val="9796D448"/>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F127AE"/>
    <w:multiLevelType w:val="hybridMultilevel"/>
    <w:tmpl w:val="F81AC9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D5E0B58"/>
    <w:multiLevelType w:val="hybridMultilevel"/>
    <w:tmpl w:val="A3F0CD0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EBF5BEE"/>
    <w:multiLevelType w:val="hybridMultilevel"/>
    <w:tmpl w:val="BD9A3B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4E96C82"/>
    <w:multiLevelType w:val="hybridMultilevel"/>
    <w:tmpl w:val="F188AB7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D340A4"/>
    <w:multiLevelType w:val="hybridMultilevel"/>
    <w:tmpl w:val="4BFEDCAA"/>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4161564"/>
    <w:multiLevelType w:val="hybridMultilevel"/>
    <w:tmpl w:val="A43AD670"/>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AE31EF"/>
    <w:multiLevelType w:val="hybridMultilevel"/>
    <w:tmpl w:val="CFEC3E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CF31747"/>
    <w:multiLevelType w:val="hybridMultilevel"/>
    <w:tmpl w:val="FDCC42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FAE520E"/>
    <w:multiLevelType w:val="hybridMultilevel"/>
    <w:tmpl w:val="03E22E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6690A48"/>
    <w:multiLevelType w:val="hybridMultilevel"/>
    <w:tmpl w:val="2EDC0CF2"/>
    <w:lvl w:ilvl="0" w:tplc="100E374C">
      <w:start w:val="1"/>
      <w:numFmt w:val="bullet"/>
      <w:lvlText w:val=""/>
      <w:lvlJc w:val="left"/>
      <w:pPr>
        <w:ind w:left="360" w:hanging="360"/>
      </w:pPr>
      <w:rPr>
        <w:rFonts w:ascii="Wingdings" w:hAnsi="Wingdings" w:hint="default"/>
        <w:sz w:val="18"/>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6A24299B"/>
    <w:multiLevelType w:val="hybridMultilevel"/>
    <w:tmpl w:val="6F38587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ADD7814"/>
    <w:multiLevelType w:val="hybridMultilevel"/>
    <w:tmpl w:val="BA0E47E8"/>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5494DFC"/>
    <w:multiLevelType w:val="hybridMultilevel"/>
    <w:tmpl w:val="F946A956"/>
    <w:lvl w:ilvl="0" w:tplc="100E374C">
      <w:start w:val="1"/>
      <w:numFmt w:val="bullet"/>
      <w:lvlText w:val=""/>
      <w:lvlJc w:val="left"/>
      <w:pPr>
        <w:ind w:left="644" w:hanging="360"/>
      </w:pPr>
      <w:rPr>
        <w:rFonts w:ascii="Wingdings" w:hAnsi="Wingdings" w:hint="default"/>
        <w:color w:val="auto"/>
        <w:sz w:val="18"/>
      </w:rPr>
    </w:lvl>
    <w:lvl w:ilvl="1" w:tplc="240A0003" w:tentative="1">
      <w:start w:val="1"/>
      <w:numFmt w:val="bullet"/>
      <w:lvlText w:val="o"/>
      <w:lvlJc w:val="left"/>
      <w:pPr>
        <w:ind w:left="1364" w:hanging="360"/>
      </w:pPr>
      <w:rPr>
        <w:rFonts w:ascii="Calibri" w:hAnsi="Calibri" w:cs="Calibri" w:hint="default"/>
      </w:rPr>
    </w:lvl>
    <w:lvl w:ilvl="2" w:tplc="240A0005" w:tentative="1">
      <w:start w:val="1"/>
      <w:numFmt w:val="bullet"/>
      <w:lvlText w:val=""/>
      <w:lvlJc w:val="left"/>
      <w:pPr>
        <w:ind w:left="2084" w:hanging="360"/>
      </w:pPr>
      <w:rPr>
        <w:rFonts w:ascii="MS Mincho" w:hAnsi="MS Mincho" w:hint="default"/>
      </w:rPr>
    </w:lvl>
    <w:lvl w:ilvl="3" w:tplc="240A0001" w:tentative="1">
      <w:start w:val="1"/>
      <w:numFmt w:val="bullet"/>
      <w:lvlText w:val=""/>
      <w:lvlJc w:val="left"/>
      <w:pPr>
        <w:ind w:left="2804" w:hanging="360"/>
      </w:pPr>
      <w:rPr>
        <w:rFonts w:ascii="Bookman Old Style" w:hAnsi="Bookman Old Style" w:hint="default"/>
      </w:rPr>
    </w:lvl>
    <w:lvl w:ilvl="4" w:tplc="240A0003" w:tentative="1">
      <w:start w:val="1"/>
      <w:numFmt w:val="bullet"/>
      <w:lvlText w:val="o"/>
      <w:lvlJc w:val="left"/>
      <w:pPr>
        <w:ind w:left="3524" w:hanging="360"/>
      </w:pPr>
      <w:rPr>
        <w:rFonts w:ascii="Calibri" w:hAnsi="Calibri" w:cs="Calibri" w:hint="default"/>
      </w:rPr>
    </w:lvl>
    <w:lvl w:ilvl="5" w:tplc="240A0005" w:tentative="1">
      <w:start w:val="1"/>
      <w:numFmt w:val="bullet"/>
      <w:lvlText w:val=""/>
      <w:lvlJc w:val="left"/>
      <w:pPr>
        <w:ind w:left="4244" w:hanging="360"/>
      </w:pPr>
      <w:rPr>
        <w:rFonts w:ascii="MS Mincho" w:hAnsi="MS Mincho" w:hint="default"/>
      </w:rPr>
    </w:lvl>
    <w:lvl w:ilvl="6" w:tplc="240A0001" w:tentative="1">
      <w:start w:val="1"/>
      <w:numFmt w:val="bullet"/>
      <w:lvlText w:val=""/>
      <w:lvlJc w:val="left"/>
      <w:pPr>
        <w:ind w:left="4964" w:hanging="360"/>
      </w:pPr>
      <w:rPr>
        <w:rFonts w:ascii="Bookman Old Style" w:hAnsi="Bookman Old Style" w:hint="default"/>
      </w:rPr>
    </w:lvl>
    <w:lvl w:ilvl="7" w:tplc="240A0003" w:tentative="1">
      <w:start w:val="1"/>
      <w:numFmt w:val="bullet"/>
      <w:lvlText w:val="o"/>
      <w:lvlJc w:val="left"/>
      <w:pPr>
        <w:ind w:left="5684" w:hanging="360"/>
      </w:pPr>
      <w:rPr>
        <w:rFonts w:ascii="Calibri" w:hAnsi="Calibri" w:cs="Calibri" w:hint="default"/>
      </w:rPr>
    </w:lvl>
    <w:lvl w:ilvl="8" w:tplc="240A0005" w:tentative="1">
      <w:start w:val="1"/>
      <w:numFmt w:val="bullet"/>
      <w:lvlText w:val=""/>
      <w:lvlJc w:val="left"/>
      <w:pPr>
        <w:ind w:left="6404" w:hanging="360"/>
      </w:pPr>
      <w:rPr>
        <w:rFonts w:ascii="MS Mincho" w:hAnsi="MS Mincho" w:hint="default"/>
      </w:rPr>
    </w:lvl>
  </w:abstractNum>
  <w:abstractNum w:abstractNumId="23" w15:restartNumberingAfterBreak="0">
    <w:nsid w:val="7A5561FE"/>
    <w:multiLevelType w:val="hybridMultilevel"/>
    <w:tmpl w:val="5E7AC9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BC174B3"/>
    <w:multiLevelType w:val="hybridMultilevel"/>
    <w:tmpl w:val="8F4E38DA"/>
    <w:lvl w:ilvl="0" w:tplc="100E374C">
      <w:start w:val="1"/>
      <w:numFmt w:val="bullet"/>
      <w:lvlText w:val=""/>
      <w:lvlJc w:val="left"/>
      <w:pPr>
        <w:ind w:left="720" w:hanging="360"/>
      </w:pPr>
      <w:rPr>
        <w:rFonts w:ascii="Wingdings" w:hAnsi="Wingdings"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20"/>
  </w:num>
  <w:num w:numId="4">
    <w:abstractNumId w:val="11"/>
  </w:num>
  <w:num w:numId="5">
    <w:abstractNumId w:val="13"/>
  </w:num>
  <w:num w:numId="6">
    <w:abstractNumId w:val="3"/>
  </w:num>
  <w:num w:numId="7">
    <w:abstractNumId w:val="0"/>
  </w:num>
  <w:num w:numId="8">
    <w:abstractNumId w:val="15"/>
  </w:num>
  <w:num w:numId="9">
    <w:abstractNumId w:val="7"/>
  </w:num>
  <w:num w:numId="10">
    <w:abstractNumId w:val="19"/>
  </w:num>
  <w:num w:numId="11">
    <w:abstractNumId w:val="4"/>
  </w:num>
  <w:num w:numId="12">
    <w:abstractNumId w:val="24"/>
  </w:num>
  <w:num w:numId="13">
    <w:abstractNumId w:val="21"/>
  </w:num>
  <w:num w:numId="14">
    <w:abstractNumId w:val="14"/>
  </w:num>
  <w:num w:numId="15">
    <w:abstractNumId w:val="6"/>
  </w:num>
  <w:num w:numId="16">
    <w:abstractNumId w:val="8"/>
  </w:num>
  <w:num w:numId="17">
    <w:abstractNumId w:val="5"/>
  </w:num>
  <w:num w:numId="18">
    <w:abstractNumId w:val="9"/>
  </w:num>
  <w:num w:numId="19">
    <w:abstractNumId w:val="10"/>
  </w:num>
  <w:num w:numId="20">
    <w:abstractNumId w:val="16"/>
  </w:num>
  <w:num w:numId="21">
    <w:abstractNumId w:val="1"/>
  </w:num>
  <w:num w:numId="22">
    <w:abstractNumId w:val="17"/>
  </w:num>
  <w:num w:numId="23">
    <w:abstractNumId w:val="18"/>
  </w:num>
  <w:num w:numId="24">
    <w:abstractNumId w:val="23"/>
  </w:num>
  <w:num w:numId="2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85"/>
    <w:rsid w:val="00001561"/>
    <w:rsid w:val="000022A2"/>
    <w:rsid w:val="00002F1C"/>
    <w:rsid w:val="0000304F"/>
    <w:rsid w:val="00003CDF"/>
    <w:rsid w:val="00004973"/>
    <w:rsid w:val="00006A67"/>
    <w:rsid w:val="000159AF"/>
    <w:rsid w:val="000168FA"/>
    <w:rsid w:val="0002015D"/>
    <w:rsid w:val="00022766"/>
    <w:rsid w:val="0002289A"/>
    <w:rsid w:val="00022B2B"/>
    <w:rsid w:val="00023E02"/>
    <w:rsid w:val="00024B4E"/>
    <w:rsid w:val="000251BB"/>
    <w:rsid w:val="00026C40"/>
    <w:rsid w:val="000335E1"/>
    <w:rsid w:val="000337CA"/>
    <w:rsid w:val="00036AC2"/>
    <w:rsid w:val="00042A4A"/>
    <w:rsid w:val="00044D6A"/>
    <w:rsid w:val="000501DF"/>
    <w:rsid w:val="000528AC"/>
    <w:rsid w:val="00052D4A"/>
    <w:rsid w:val="000537F4"/>
    <w:rsid w:val="00055807"/>
    <w:rsid w:val="00060745"/>
    <w:rsid w:val="00063D4F"/>
    <w:rsid w:val="000641BE"/>
    <w:rsid w:val="00064DF8"/>
    <w:rsid w:val="000728CD"/>
    <w:rsid w:val="000737E7"/>
    <w:rsid w:val="00074FC8"/>
    <w:rsid w:val="000839FC"/>
    <w:rsid w:val="00087215"/>
    <w:rsid w:val="00093CF4"/>
    <w:rsid w:val="00095ECD"/>
    <w:rsid w:val="00097E87"/>
    <w:rsid w:val="00097FBA"/>
    <w:rsid w:val="000A07DC"/>
    <w:rsid w:val="000A2070"/>
    <w:rsid w:val="000A4884"/>
    <w:rsid w:val="000B4D4F"/>
    <w:rsid w:val="000B4FEE"/>
    <w:rsid w:val="000B5AD6"/>
    <w:rsid w:val="000C330D"/>
    <w:rsid w:val="000C36A1"/>
    <w:rsid w:val="000D3DCC"/>
    <w:rsid w:val="000E09CE"/>
    <w:rsid w:val="000E10B1"/>
    <w:rsid w:val="000E1537"/>
    <w:rsid w:val="000E1F5E"/>
    <w:rsid w:val="000F0423"/>
    <w:rsid w:val="000F3563"/>
    <w:rsid w:val="000F62EC"/>
    <w:rsid w:val="00102775"/>
    <w:rsid w:val="00103A84"/>
    <w:rsid w:val="00106511"/>
    <w:rsid w:val="001070E9"/>
    <w:rsid w:val="0011194A"/>
    <w:rsid w:val="00111FBC"/>
    <w:rsid w:val="00113029"/>
    <w:rsid w:val="00114ACE"/>
    <w:rsid w:val="00115AEC"/>
    <w:rsid w:val="001160B4"/>
    <w:rsid w:val="001173C5"/>
    <w:rsid w:val="001210B0"/>
    <w:rsid w:val="00121EA5"/>
    <w:rsid w:val="00123337"/>
    <w:rsid w:val="00123777"/>
    <w:rsid w:val="00125159"/>
    <w:rsid w:val="00125908"/>
    <w:rsid w:val="0012691C"/>
    <w:rsid w:val="00133319"/>
    <w:rsid w:val="00134140"/>
    <w:rsid w:val="00134402"/>
    <w:rsid w:val="0013627D"/>
    <w:rsid w:val="001407F8"/>
    <w:rsid w:val="00141BE2"/>
    <w:rsid w:val="00145200"/>
    <w:rsid w:val="00147CA2"/>
    <w:rsid w:val="00150E37"/>
    <w:rsid w:val="0015142D"/>
    <w:rsid w:val="001524B4"/>
    <w:rsid w:val="001527C2"/>
    <w:rsid w:val="0015372B"/>
    <w:rsid w:val="0015496B"/>
    <w:rsid w:val="001553FE"/>
    <w:rsid w:val="00157731"/>
    <w:rsid w:val="00157A2B"/>
    <w:rsid w:val="001600CC"/>
    <w:rsid w:val="00160CDD"/>
    <w:rsid w:val="00162E5B"/>
    <w:rsid w:val="00163410"/>
    <w:rsid w:val="0016358C"/>
    <w:rsid w:val="00175A8F"/>
    <w:rsid w:val="00175DCC"/>
    <w:rsid w:val="00177A35"/>
    <w:rsid w:val="00177E4D"/>
    <w:rsid w:val="001820CA"/>
    <w:rsid w:val="0018726F"/>
    <w:rsid w:val="001913C0"/>
    <w:rsid w:val="00193CB9"/>
    <w:rsid w:val="001967DD"/>
    <w:rsid w:val="00197621"/>
    <w:rsid w:val="001A0B4E"/>
    <w:rsid w:val="001A74E8"/>
    <w:rsid w:val="001B5037"/>
    <w:rsid w:val="001B6FA9"/>
    <w:rsid w:val="001C0AE2"/>
    <w:rsid w:val="001C0EA7"/>
    <w:rsid w:val="001C29CB"/>
    <w:rsid w:val="001C2F62"/>
    <w:rsid w:val="001C312E"/>
    <w:rsid w:val="001C4886"/>
    <w:rsid w:val="001D411D"/>
    <w:rsid w:val="001D762A"/>
    <w:rsid w:val="001E0058"/>
    <w:rsid w:val="001E0CAD"/>
    <w:rsid w:val="001E165A"/>
    <w:rsid w:val="001E2D7A"/>
    <w:rsid w:val="001E3A61"/>
    <w:rsid w:val="001E47D4"/>
    <w:rsid w:val="001E6CAE"/>
    <w:rsid w:val="001F1FA4"/>
    <w:rsid w:val="00200A76"/>
    <w:rsid w:val="00201BE9"/>
    <w:rsid w:val="002027C8"/>
    <w:rsid w:val="00202971"/>
    <w:rsid w:val="00204A54"/>
    <w:rsid w:val="00214535"/>
    <w:rsid w:val="00224355"/>
    <w:rsid w:val="002258DC"/>
    <w:rsid w:val="0022783F"/>
    <w:rsid w:val="002303D9"/>
    <w:rsid w:val="00231481"/>
    <w:rsid w:val="00232762"/>
    <w:rsid w:val="00232808"/>
    <w:rsid w:val="00236826"/>
    <w:rsid w:val="002402D4"/>
    <w:rsid w:val="00242999"/>
    <w:rsid w:val="0025022C"/>
    <w:rsid w:val="00250D88"/>
    <w:rsid w:val="002571C5"/>
    <w:rsid w:val="002615E9"/>
    <w:rsid w:val="00271A27"/>
    <w:rsid w:val="00272A1D"/>
    <w:rsid w:val="00273484"/>
    <w:rsid w:val="002747EF"/>
    <w:rsid w:val="002807FB"/>
    <w:rsid w:val="00281422"/>
    <w:rsid w:val="0028247E"/>
    <w:rsid w:val="002945EC"/>
    <w:rsid w:val="00297C2E"/>
    <w:rsid w:val="002A18F3"/>
    <w:rsid w:val="002A29E1"/>
    <w:rsid w:val="002A3262"/>
    <w:rsid w:val="002A6154"/>
    <w:rsid w:val="002A63AA"/>
    <w:rsid w:val="002A7F7D"/>
    <w:rsid w:val="002B0DDC"/>
    <w:rsid w:val="002B78FD"/>
    <w:rsid w:val="002B7F23"/>
    <w:rsid w:val="002C116E"/>
    <w:rsid w:val="002C5296"/>
    <w:rsid w:val="002C717D"/>
    <w:rsid w:val="002C7F6D"/>
    <w:rsid w:val="002D1156"/>
    <w:rsid w:val="002D229C"/>
    <w:rsid w:val="002D4DEF"/>
    <w:rsid w:val="002D539E"/>
    <w:rsid w:val="002D6F21"/>
    <w:rsid w:val="002D7359"/>
    <w:rsid w:val="002E2AAC"/>
    <w:rsid w:val="002E71E0"/>
    <w:rsid w:val="002F1A89"/>
    <w:rsid w:val="002F239E"/>
    <w:rsid w:val="002F4B2E"/>
    <w:rsid w:val="002F6D80"/>
    <w:rsid w:val="003053C9"/>
    <w:rsid w:val="003064C7"/>
    <w:rsid w:val="00312AB7"/>
    <w:rsid w:val="003137F1"/>
    <w:rsid w:val="00316E23"/>
    <w:rsid w:val="00317BF5"/>
    <w:rsid w:val="00325B2F"/>
    <w:rsid w:val="003265D0"/>
    <w:rsid w:val="00330F4D"/>
    <w:rsid w:val="00341BC8"/>
    <w:rsid w:val="00343FA9"/>
    <w:rsid w:val="003458FD"/>
    <w:rsid w:val="00347619"/>
    <w:rsid w:val="00350FD4"/>
    <w:rsid w:val="00355C12"/>
    <w:rsid w:val="00357DFC"/>
    <w:rsid w:val="00361D71"/>
    <w:rsid w:val="00365462"/>
    <w:rsid w:val="00365489"/>
    <w:rsid w:val="00365C96"/>
    <w:rsid w:val="00366317"/>
    <w:rsid w:val="003674DC"/>
    <w:rsid w:val="00370068"/>
    <w:rsid w:val="00373B09"/>
    <w:rsid w:val="00377EBA"/>
    <w:rsid w:val="003809C5"/>
    <w:rsid w:val="00381AE0"/>
    <w:rsid w:val="00381EAB"/>
    <w:rsid w:val="0038371E"/>
    <w:rsid w:val="00386B83"/>
    <w:rsid w:val="00386BB4"/>
    <w:rsid w:val="00387EA8"/>
    <w:rsid w:val="00390DF0"/>
    <w:rsid w:val="00392E66"/>
    <w:rsid w:val="003933CD"/>
    <w:rsid w:val="0039416B"/>
    <w:rsid w:val="00394F17"/>
    <w:rsid w:val="0039580D"/>
    <w:rsid w:val="00396F25"/>
    <w:rsid w:val="00397E46"/>
    <w:rsid w:val="003A1636"/>
    <w:rsid w:val="003A1BB9"/>
    <w:rsid w:val="003A1E39"/>
    <w:rsid w:val="003A6956"/>
    <w:rsid w:val="003A76E7"/>
    <w:rsid w:val="003B6201"/>
    <w:rsid w:val="003B6A3B"/>
    <w:rsid w:val="003B7EC3"/>
    <w:rsid w:val="003C1ED8"/>
    <w:rsid w:val="003C557E"/>
    <w:rsid w:val="003C58D2"/>
    <w:rsid w:val="003C6953"/>
    <w:rsid w:val="003D0B07"/>
    <w:rsid w:val="003D195C"/>
    <w:rsid w:val="003E1F56"/>
    <w:rsid w:val="003E6B90"/>
    <w:rsid w:val="003F1396"/>
    <w:rsid w:val="003F5498"/>
    <w:rsid w:val="003F62E2"/>
    <w:rsid w:val="003F66B5"/>
    <w:rsid w:val="003F7FE9"/>
    <w:rsid w:val="004035EE"/>
    <w:rsid w:val="00411A26"/>
    <w:rsid w:val="004148F0"/>
    <w:rsid w:val="0041533A"/>
    <w:rsid w:val="00417FEF"/>
    <w:rsid w:val="004205A6"/>
    <w:rsid w:val="00420DC0"/>
    <w:rsid w:val="00426F89"/>
    <w:rsid w:val="00430B8B"/>
    <w:rsid w:val="004328CA"/>
    <w:rsid w:val="00432D5B"/>
    <w:rsid w:val="00434603"/>
    <w:rsid w:val="00434F17"/>
    <w:rsid w:val="00436E1B"/>
    <w:rsid w:val="004428BA"/>
    <w:rsid w:val="0044401F"/>
    <w:rsid w:val="004441C7"/>
    <w:rsid w:val="00444F84"/>
    <w:rsid w:val="004458A5"/>
    <w:rsid w:val="00445FD2"/>
    <w:rsid w:val="00447E82"/>
    <w:rsid w:val="004502AD"/>
    <w:rsid w:val="00451716"/>
    <w:rsid w:val="00452006"/>
    <w:rsid w:val="00452A5C"/>
    <w:rsid w:val="004541E9"/>
    <w:rsid w:val="00456504"/>
    <w:rsid w:val="00460323"/>
    <w:rsid w:val="0046187E"/>
    <w:rsid w:val="004622E4"/>
    <w:rsid w:val="00463E7D"/>
    <w:rsid w:val="00465FB0"/>
    <w:rsid w:val="0047024D"/>
    <w:rsid w:val="00470960"/>
    <w:rsid w:val="0047118F"/>
    <w:rsid w:val="00476BB4"/>
    <w:rsid w:val="004856AF"/>
    <w:rsid w:val="00486BD0"/>
    <w:rsid w:val="00490D28"/>
    <w:rsid w:val="00491225"/>
    <w:rsid w:val="00492BB6"/>
    <w:rsid w:val="00496958"/>
    <w:rsid w:val="004A11FD"/>
    <w:rsid w:val="004A4988"/>
    <w:rsid w:val="004A5162"/>
    <w:rsid w:val="004A5549"/>
    <w:rsid w:val="004B06A9"/>
    <w:rsid w:val="004B2C9A"/>
    <w:rsid w:val="004B41AF"/>
    <w:rsid w:val="004B7518"/>
    <w:rsid w:val="004B77A8"/>
    <w:rsid w:val="004B787A"/>
    <w:rsid w:val="004C1E3B"/>
    <w:rsid w:val="004C3D5C"/>
    <w:rsid w:val="004E3710"/>
    <w:rsid w:val="004E3914"/>
    <w:rsid w:val="004E5C83"/>
    <w:rsid w:val="004F115D"/>
    <w:rsid w:val="004F7AA7"/>
    <w:rsid w:val="00500B9C"/>
    <w:rsid w:val="00503557"/>
    <w:rsid w:val="0050741C"/>
    <w:rsid w:val="00513B67"/>
    <w:rsid w:val="0051702B"/>
    <w:rsid w:val="005213B3"/>
    <w:rsid w:val="00521CEA"/>
    <w:rsid w:val="00521FD3"/>
    <w:rsid w:val="005237FC"/>
    <w:rsid w:val="0052556A"/>
    <w:rsid w:val="0053491C"/>
    <w:rsid w:val="00536FB5"/>
    <w:rsid w:val="005412E9"/>
    <w:rsid w:val="00545CD2"/>
    <w:rsid w:val="00547227"/>
    <w:rsid w:val="00550F8C"/>
    <w:rsid w:val="00556B41"/>
    <w:rsid w:val="00562FA9"/>
    <w:rsid w:val="005650D3"/>
    <w:rsid w:val="005652BD"/>
    <w:rsid w:val="00565FF7"/>
    <w:rsid w:val="005663E0"/>
    <w:rsid w:val="0056740A"/>
    <w:rsid w:val="00572389"/>
    <w:rsid w:val="00572B01"/>
    <w:rsid w:val="00574D1D"/>
    <w:rsid w:val="00575396"/>
    <w:rsid w:val="00575C8D"/>
    <w:rsid w:val="00577341"/>
    <w:rsid w:val="00577829"/>
    <w:rsid w:val="005800A9"/>
    <w:rsid w:val="005816BA"/>
    <w:rsid w:val="0058474F"/>
    <w:rsid w:val="005850AB"/>
    <w:rsid w:val="00586B38"/>
    <w:rsid w:val="005871D3"/>
    <w:rsid w:val="005948AD"/>
    <w:rsid w:val="005A5890"/>
    <w:rsid w:val="005A61C0"/>
    <w:rsid w:val="005B362D"/>
    <w:rsid w:val="005C1716"/>
    <w:rsid w:val="005C4646"/>
    <w:rsid w:val="005C59B2"/>
    <w:rsid w:val="005C6F70"/>
    <w:rsid w:val="005D0A6C"/>
    <w:rsid w:val="005D1F8D"/>
    <w:rsid w:val="005D2C57"/>
    <w:rsid w:val="005D6128"/>
    <w:rsid w:val="005D6734"/>
    <w:rsid w:val="005E1A3B"/>
    <w:rsid w:val="005E4DAC"/>
    <w:rsid w:val="005E59EB"/>
    <w:rsid w:val="005E6D64"/>
    <w:rsid w:val="005F0D15"/>
    <w:rsid w:val="005F1A5E"/>
    <w:rsid w:val="005F2A39"/>
    <w:rsid w:val="005F2FC1"/>
    <w:rsid w:val="005F3451"/>
    <w:rsid w:val="005F42A6"/>
    <w:rsid w:val="005F49EE"/>
    <w:rsid w:val="005F7AC6"/>
    <w:rsid w:val="00601F60"/>
    <w:rsid w:val="006023D6"/>
    <w:rsid w:val="00603164"/>
    <w:rsid w:val="0060349A"/>
    <w:rsid w:val="00610AE9"/>
    <w:rsid w:val="00611571"/>
    <w:rsid w:val="0061537E"/>
    <w:rsid w:val="00615BBD"/>
    <w:rsid w:val="00617DC5"/>
    <w:rsid w:val="00621564"/>
    <w:rsid w:val="006216E4"/>
    <w:rsid w:val="00621A30"/>
    <w:rsid w:val="006222BD"/>
    <w:rsid w:val="006224C5"/>
    <w:rsid w:val="00622529"/>
    <w:rsid w:val="006229F4"/>
    <w:rsid w:val="0062397B"/>
    <w:rsid w:val="006259ED"/>
    <w:rsid w:val="00625EC0"/>
    <w:rsid w:val="00640337"/>
    <w:rsid w:val="006413FF"/>
    <w:rsid w:val="006468C3"/>
    <w:rsid w:val="0064709E"/>
    <w:rsid w:val="00651755"/>
    <w:rsid w:val="00657608"/>
    <w:rsid w:val="00660E3E"/>
    <w:rsid w:val="00662C31"/>
    <w:rsid w:val="00663365"/>
    <w:rsid w:val="00663A9C"/>
    <w:rsid w:val="00666BBC"/>
    <w:rsid w:val="0067054E"/>
    <w:rsid w:val="00671D55"/>
    <w:rsid w:val="006748BE"/>
    <w:rsid w:val="00675DD7"/>
    <w:rsid w:val="0068052F"/>
    <w:rsid w:val="006810CD"/>
    <w:rsid w:val="00684E42"/>
    <w:rsid w:val="006861B9"/>
    <w:rsid w:val="00687234"/>
    <w:rsid w:val="00690D9F"/>
    <w:rsid w:val="00691998"/>
    <w:rsid w:val="00694002"/>
    <w:rsid w:val="006A0695"/>
    <w:rsid w:val="006A09E8"/>
    <w:rsid w:val="006A1C4D"/>
    <w:rsid w:val="006A3A32"/>
    <w:rsid w:val="006A5567"/>
    <w:rsid w:val="006B0A49"/>
    <w:rsid w:val="006B1B94"/>
    <w:rsid w:val="006B3DAC"/>
    <w:rsid w:val="006B6825"/>
    <w:rsid w:val="006B6A4D"/>
    <w:rsid w:val="006C1E7A"/>
    <w:rsid w:val="006C414B"/>
    <w:rsid w:val="006C5805"/>
    <w:rsid w:val="006C5C3A"/>
    <w:rsid w:val="006C78A6"/>
    <w:rsid w:val="006D101A"/>
    <w:rsid w:val="006D217D"/>
    <w:rsid w:val="006D3563"/>
    <w:rsid w:val="006E0424"/>
    <w:rsid w:val="006E4122"/>
    <w:rsid w:val="006E5308"/>
    <w:rsid w:val="006E7E25"/>
    <w:rsid w:val="006F545F"/>
    <w:rsid w:val="006F637D"/>
    <w:rsid w:val="00703148"/>
    <w:rsid w:val="00704E13"/>
    <w:rsid w:val="00710C90"/>
    <w:rsid w:val="00711CE0"/>
    <w:rsid w:val="007124E5"/>
    <w:rsid w:val="00713245"/>
    <w:rsid w:val="00713E19"/>
    <w:rsid w:val="00715CE5"/>
    <w:rsid w:val="00717325"/>
    <w:rsid w:val="00717916"/>
    <w:rsid w:val="00722F4D"/>
    <w:rsid w:val="00726532"/>
    <w:rsid w:val="00730356"/>
    <w:rsid w:val="007344E0"/>
    <w:rsid w:val="00734B2D"/>
    <w:rsid w:val="0073770C"/>
    <w:rsid w:val="00741BC5"/>
    <w:rsid w:val="00744CF9"/>
    <w:rsid w:val="00746D9A"/>
    <w:rsid w:val="007472BC"/>
    <w:rsid w:val="00750DEC"/>
    <w:rsid w:val="007547A4"/>
    <w:rsid w:val="007620D6"/>
    <w:rsid w:val="007637F3"/>
    <w:rsid w:val="007658D4"/>
    <w:rsid w:val="0076598C"/>
    <w:rsid w:val="007664D7"/>
    <w:rsid w:val="00766520"/>
    <w:rsid w:val="00767214"/>
    <w:rsid w:val="007712CB"/>
    <w:rsid w:val="0077252A"/>
    <w:rsid w:val="00775BF7"/>
    <w:rsid w:val="007766BE"/>
    <w:rsid w:val="00783DFF"/>
    <w:rsid w:val="0078621E"/>
    <w:rsid w:val="00786E87"/>
    <w:rsid w:val="00787D00"/>
    <w:rsid w:val="00790409"/>
    <w:rsid w:val="00790F36"/>
    <w:rsid w:val="00791E4C"/>
    <w:rsid w:val="00792346"/>
    <w:rsid w:val="00794CB2"/>
    <w:rsid w:val="0079523F"/>
    <w:rsid w:val="00795925"/>
    <w:rsid w:val="007A0DBB"/>
    <w:rsid w:val="007A6E7E"/>
    <w:rsid w:val="007A7A55"/>
    <w:rsid w:val="007A7B0B"/>
    <w:rsid w:val="007B0B6A"/>
    <w:rsid w:val="007B1E4C"/>
    <w:rsid w:val="007B2323"/>
    <w:rsid w:val="007B3D30"/>
    <w:rsid w:val="007C2244"/>
    <w:rsid w:val="007C33C8"/>
    <w:rsid w:val="007C488A"/>
    <w:rsid w:val="007D1937"/>
    <w:rsid w:val="007D2682"/>
    <w:rsid w:val="007D4A7D"/>
    <w:rsid w:val="007D65A9"/>
    <w:rsid w:val="007D694E"/>
    <w:rsid w:val="007E087E"/>
    <w:rsid w:val="007E1151"/>
    <w:rsid w:val="007E2F5E"/>
    <w:rsid w:val="007F1A27"/>
    <w:rsid w:val="007F312D"/>
    <w:rsid w:val="007F6E6C"/>
    <w:rsid w:val="00807736"/>
    <w:rsid w:val="00807D4D"/>
    <w:rsid w:val="00810976"/>
    <w:rsid w:val="00822033"/>
    <w:rsid w:val="008223C8"/>
    <w:rsid w:val="00826E51"/>
    <w:rsid w:val="00827527"/>
    <w:rsid w:val="008310B1"/>
    <w:rsid w:val="00831F78"/>
    <w:rsid w:val="00833A4D"/>
    <w:rsid w:val="0083495A"/>
    <w:rsid w:val="008479DC"/>
    <w:rsid w:val="00856717"/>
    <w:rsid w:val="008626F4"/>
    <w:rsid w:val="00867ED1"/>
    <w:rsid w:val="00867F71"/>
    <w:rsid w:val="0087049F"/>
    <w:rsid w:val="008722D4"/>
    <w:rsid w:val="00874075"/>
    <w:rsid w:val="00875C61"/>
    <w:rsid w:val="008766ED"/>
    <w:rsid w:val="00880CE8"/>
    <w:rsid w:val="00882DDE"/>
    <w:rsid w:val="0088372B"/>
    <w:rsid w:val="0089168D"/>
    <w:rsid w:val="00891ED4"/>
    <w:rsid w:val="00892062"/>
    <w:rsid w:val="00892920"/>
    <w:rsid w:val="00892DDE"/>
    <w:rsid w:val="0089343F"/>
    <w:rsid w:val="008A1F80"/>
    <w:rsid w:val="008A2A48"/>
    <w:rsid w:val="008A4469"/>
    <w:rsid w:val="008A6B14"/>
    <w:rsid w:val="008B20E2"/>
    <w:rsid w:val="008C27A1"/>
    <w:rsid w:val="008C2E85"/>
    <w:rsid w:val="008C4398"/>
    <w:rsid w:val="008C6410"/>
    <w:rsid w:val="008C7238"/>
    <w:rsid w:val="008D2268"/>
    <w:rsid w:val="008D6385"/>
    <w:rsid w:val="008E397D"/>
    <w:rsid w:val="008E5F53"/>
    <w:rsid w:val="008F4400"/>
    <w:rsid w:val="008F5781"/>
    <w:rsid w:val="008F6C61"/>
    <w:rsid w:val="00902A27"/>
    <w:rsid w:val="00903C6B"/>
    <w:rsid w:val="009040CF"/>
    <w:rsid w:val="009071CF"/>
    <w:rsid w:val="00910782"/>
    <w:rsid w:val="00913783"/>
    <w:rsid w:val="00914360"/>
    <w:rsid w:val="009148A8"/>
    <w:rsid w:val="00914C3F"/>
    <w:rsid w:val="00920E4A"/>
    <w:rsid w:val="00920F62"/>
    <w:rsid w:val="00933FFB"/>
    <w:rsid w:val="00936315"/>
    <w:rsid w:val="00936AE0"/>
    <w:rsid w:val="00941351"/>
    <w:rsid w:val="009426C4"/>
    <w:rsid w:val="00943748"/>
    <w:rsid w:val="00944886"/>
    <w:rsid w:val="00945D88"/>
    <w:rsid w:val="009473F2"/>
    <w:rsid w:val="00951894"/>
    <w:rsid w:val="0095479E"/>
    <w:rsid w:val="00955046"/>
    <w:rsid w:val="009556E1"/>
    <w:rsid w:val="00960473"/>
    <w:rsid w:val="00963C11"/>
    <w:rsid w:val="009642CC"/>
    <w:rsid w:val="0096530E"/>
    <w:rsid w:val="00967A3C"/>
    <w:rsid w:val="00970F1E"/>
    <w:rsid w:val="00973238"/>
    <w:rsid w:val="00977D0D"/>
    <w:rsid w:val="00980974"/>
    <w:rsid w:val="00982AB6"/>
    <w:rsid w:val="009870BA"/>
    <w:rsid w:val="0098748D"/>
    <w:rsid w:val="00993964"/>
    <w:rsid w:val="00995835"/>
    <w:rsid w:val="009964EC"/>
    <w:rsid w:val="00997078"/>
    <w:rsid w:val="009A0EF0"/>
    <w:rsid w:val="009A5C30"/>
    <w:rsid w:val="009A7EB2"/>
    <w:rsid w:val="009B29ED"/>
    <w:rsid w:val="009B50B6"/>
    <w:rsid w:val="009B64CD"/>
    <w:rsid w:val="009B7118"/>
    <w:rsid w:val="009C285C"/>
    <w:rsid w:val="009C3200"/>
    <w:rsid w:val="009C3245"/>
    <w:rsid w:val="009C3A6E"/>
    <w:rsid w:val="009C6866"/>
    <w:rsid w:val="009E033E"/>
    <w:rsid w:val="009E1254"/>
    <w:rsid w:val="009E7C0D"/>
    <w:rsid w:val="009F0677"/>
    <w:rsid w:val="009F49D4"/>
    <w:rsid w:val="009F4B7A"/>
    <w:rsid w:val="009F7C49"/>
    <w:rsid w:val="00A020F2"/>
    <w:rsid w:val="00A02FA4"/>
    <w:rsid w:val="00A0656A"/>
    <w:rsid w:val="00A27AB1"/>
    <w:rsid w:val="00A27BE4"/>
    <w:rsid w:val="00A319AD"/>
    <w:rsid w:val="00A337D4"/>
    <w:rsid w:val="00A33868"/>
    <w:rsid w:val="00A34A58"/>
    <w:rsid w:val="00A3686C"/>
    <w:rsid w:val="00A36A94"/>
    <w:rsid w:val="00A37DE1"/>
    <w:rsid w:val="00A40B6C"/>
    <w:rsid w:val="00A40DF7"/>
    <w:rsid w:val="00A42D36"/>
    <w:rsid w:val="00A44177"/>
    <w:rsid w:val="00A50C6C"/>
    <w:rsid w:val="00A50EF9"/>
    <w:rsid w:val="00A513B4"/>
    <w:rsid w:val="00A5339E"/>
    <w:rsid w:val="00A54CD9"/>
    <w:rsid w:val="00A60CF4"/>
    <w:rsid w:val="00A63150"/>
    <w:rsid w:val="00A6460E"/>
    <w:rsid w:val="00A66788"/>
    <w:rsid w:val="00A668F5"/>
    <w:rsid w:val="00A7094C"/>
    <w:rsid w:val="00A715D6"/>
    <w:rsid w:val="00A81E9B"/>
    <w:rsid w:val="00A8204A"/>
    <w:rsid w:val="00A863FC"/>
    <w:rsid w:val="00A86628"/>
    <w:rsid w:val="00A86AFD"/>
    <w:rsid w:val="00A9064E"/>
    <w:rsid w:val="00A92382"/>
    <w:rsid w:val="00A95766"/>
    <w:rsid w:val="00A97729"/>
    <w:rsid w:val="00AA0392"/>
    <w:rsid w:val="00AA0EB9"/>
    <w:rsid w:val="00AA50B0"/>
    <w:rsid w:val="00AB064C"/>
    <w:rsid w:val="00AB467B"/>
    <w:rsid w:val="00AB4CCC"/>
    <w:rsid w:val="00AB5B21"/>
    <w:rsid w:val="00AC0CDD"/>
    <w:rsid w:val="00AC0E8E"/>
    <w:rsid w:val="00AC2B9E"/>
    <w:rsid w:val="00AC585D"/>
    <w:rsid w:val="00AC6263"/>
    <w:rsid w:val="00AC6BF1"/>
    <w:rsid w:val="00AC7555"/>
    <w:rsid w:val="00AD710A"/>
    <w:rsid w:val="00AE09DD"/>
    <w:rsid w:val="00AE1399"/>
    <w:rsid w:val="00AE63C4"/>
    <w:rsid w:val="00AF22E9"/>
    <w:rsid w:val="00AF7A43"/>
    <w:rsid w:val="00B065D4"/>
    <w:rsid w:val="00B10297"/>
    <w:rsid w:val="00B105CD"/>
    <w:rsid w:val="00B134B0"/>
    <w:rsid w:val="00B14973"/>
    <w:rsid w:val="00B15614"/>
    <w:rsid w:val="00B167C7"/>
    <w:rsid w:val="00B211A5"/>
    <w:rsid w:val="00B25BCB"/>
    <w:rsid w:val="00B25FE8"/>
    <w:rsid w:val="00B27DCC"/>
    <w:rsid w:val="00B313C6"/>
    <w:rsid w:val="00B35DAC"/>
    <w:rsid w:val="00B36451"/>
    <w:rsid w:val="00B439D4"/>
    <w:rsid w:val="00B4461D"/>
    <w:rsid w:val="00B44F6B"/>
    <w:rsid w:val="00B4530B"/>
    <w:rsid w:val="00B4786E"/>
    <w:rsid w:val="00B52FC4"/>
    <w:rsid w:val="00B56C24"/>
    <w:rsid w:val="00B604FA"/>
    <w:rsid w:val="00B628F9"/>
    <w:rsid w:val="00B62CBB"/>
    <w:rsid w:val="00B62E7E"/>
    <w:rsid w:val="00B641CF"/>
    <w:rsid w:val="00B648F9"/>
    <w:rsid w:val="00B6709C"/>
    <w:rsid w:val="00B675BB"/>
    <w:rsid w:val="00B7164B"/>
    <w:rsid w:val="00B74B4C"/>
    <w:rsid w:val="00B77A78"/>
    <w:rsid w:val="00B82444"/>
    <w:rsid w:val="00B83FD1"/>
    <w:rsid w:val="00B84F96"/>
    <w:rsid w:val="00B86437"/>
    <w:rsid w:val="00BA1A22"/>
    <w:rsid w:val="00BA59B0"/>
    <w:rsid w:val="00BA6FD3"/>
    <w:rsid w:val="00BB221A"/>
    <w:rsid w:val="00BB22DB"/>
    <w:rsid w:val="00BB550C"/>
    <w:rsid w:val="00BB5669"/>
    <w:rsid w:val="00BB6232"/>
    <w:rsid w:val="00BC1708"/>
    <w:rsid w:val="00BC174D"/>
    <w:rsid w:val="00BC59AD"/>
    <w:rsid w:val="00BD0CCF"/>
    <w:rsid w:val="00BD0D57"/>
    <w:rsid w:val="00BD1055"/>
    <w:rsid w:val="00BD4318"/>
    <w:rsid w:val="00BE20CC"/>
    <w:rsid w:val="00BE4377"/>
    <w:rsid w:val="00BE486E"/>
    <w:rsid w:val="00BE5B9C"/>
    <w:rsid w:val="00BE722E"/>
    <w:rsid w:val="00BF241A"/>
    <w:rsid w:val="00BF36DB"/>
    <w:rsid w:val="00BF3F6F"/>
    <w:rsid w:val="00BF70C5"/>
    <w:rsid w:val="00BF7F9D"/>
    <w:rsid w:val="00C03502"/>
    <w:rsid w:val="00C042DA"/>
    <w:rsid w:val="00C10C27"/>
    <w:rsid w:val="00C2178B"/>
    <w:rsid w:val="00C2408A"/>
    <w:rsid w:val="00C2660F"/>
    <w:rsid w:val="00C30A79"/>
    <w:rsid w:val="00C35D37"/>
    <w:rsid w:val="00C36675"/>
    <w:rsid w:val="00C42CC3"/>
    <w:rsid w:val="00C471ED"/>
    <w:rsid w:val="00C476EC"/>
    <w:rsid w:val="00C53D1C"/>
    <w:rsid w:val="00C56488"/>
    <w:rsid w:val="00C63756"/>
    <w:rsid w:val="00C66421"/>
    <w:rsid w:val="00C67575"/>
    <w:rsid w:val="00C700E1"/>
    <w:rsid w:val="00C70E3D"/>
    <w:rsid w:val="00C746E9"/>
    <w:rsid w:val="00C77AF5"/>
    <w:rsid w:val="00C77C7B"/>
    <w:rsid w:val="00C81AAA"/>
    <w:rsid w:val="00C86011"/>
    <w:rsid w:val="00C87FFA"/>
    <w:rsid w:val="00C91816"/>
    <w:rsid w:val="00C92225"/>
    <w:rsid w:val="00C95833"/>
    <w:rsid w:val="00CA373A"/>
    <w:rsid w:val="00CA4B9A"/>
    <w:rsid w:val="00CA6701"/>
    <w:rsid w:val="00CB1CEA"/>
    <w:rsid w:val="00CB1DCF"/>
    <w:rsid w:val="00CB361C"/>
    <w:rsid w:val="00CB5FE6"/>
    <w:rsid w:val="00CC39C0"/>
    <w:rsid w:val="00CC5A83"/>
    <w:rsid w:val="00CC75FA"/>
    <w:rsid w:val="00CD0338"/>
    <w:rsid w:val="00CD1581"/>
    <w:rsid w:val="00CD1E21"/>
    <w:rsid w:val="00CD356E"/>
    <w:rsid w:val="00CD3B0E"/>
    <w:rsid w:val="00CD4E9A"/>
    <w:rsid w:val="00CD62AC"/>
    <w:rsid w:val="00CD6A9D"/>
    <w:rsid w:val="00CE1A78"/>
    <w:rsid w:val="00CE49AE"/>
    <w:rsid w:val="00CE600F"/>
    <w:rsid w:val="00CE7B23"/>
    <w:rsid w:val="00CE7F40"/>
    <w:rsid w:val="00CF1684"/>
    <w:rsid w:val="00CF4563"/>
    <w:rsid w:val="00CF6158"/>
    <w:rsid w:val="00CF742B"/>
    <w:rsid w:val="00D0495E"/>
    <w:rsid w:val="00D055FC"/>
    <w:rsid w:val="00D1077E"/>
    <w:rsid w:val="00D10797"/>
    <w:rsid w:val="00D115BD"/>
    <w:rsid w:val="00D11673"/>
    <w:rsid w:val="00D16948"/>
    <w:rsid w:val="00D173FB"/>
    <w:rsid w:val="00D1775A"/>
    <w:rsid w:val="00D20F98"/>
    <w:rsid w:val="00D233E8"/>
    <w:rsid w:val="00D257CC"/>
    <w:rsid w:val="00D2650C"/>
    <w:rsid w:val="00D26BC6"/>
    <w:rsid w:val="00D2704A"/>
    <w:rsid w:val="00D31107"/>
    <w:rsid w:val="00D37DF7"/>
    <w:rsid w:val="00D40B20"/>
    <w:rsid w:val="00D42BB5"/>
    <w:rsid w:val="00D43C71"/>
    <w:rsid w:val="00D47220"/>
    <w:rsid w:val="00D52CA5"/>
    <w:rsid w:val="00D54E1C"/>
    <w:rsid w:val="00D5686C"/>
    <w:rsid w:val="00D65315"/>
    <w:rsid w:val="00D66D3F"/>
    <w:rsid w:val="00D67F54"/>
    <w:rsid w:val="00D708FE"/>
    <w:rsid w:val="00D70AB5"/>
    <w:rsid w:val="00D77E13"/>
    <w:rsid w:val="00D93CDC"/>
    <w:rsid w:val="00D93D79"/>
    <w:rsid w:val="00D96BE6"/>
    <w:rsid w:val="00DA0445"/>
    <w:rsid w:val="00DA07EA"/>
    <w:rsid w:val="00DA1C58"/>
    <w:rsid w:val="00DA399D"/>
    <w:rsid w:val="00DA5DBE"/>
    <w:rsid w:val="00DA716C"/>
    <w:rsid w:val="00DB40A7"/>
    <w:rsid w:val="00DC1D0C"/>
    <w:rsid w:val="00DC50E8"/>
    <w:rsid w:val="00DC51E6"/>
    <w:rsid w:val="00DD0DE9"/>
    <w:rsid w:val="00DD0E0D"/>
    <w:rsid w:val="00DD29AB"/>
    <w:rsid w:val="00DD2F47"/>
    <w:rsid w:val="00DD52A2"/>
    <w:rsid w:val="00DD6CB3"/>
    <w:rsid w:val="00DE02C0"/>
    <w:rsid w:val="00DE677D"/>
    <w:rsid w:val="00DE69C8"/>
    <w:rsid w:val="00DE7DF2"/>
    <w:rsid w:val="00DF0DB6"/>
    <w:rsid w:val="00DF2D1F"/>
    <w:rsid w:val="00DF50C8"/>
    <w:rsid w:val="00DF5FBF"/>
    <w:rsid w:val="00E001A3"/>
    <w:rsid w:val="00E00F98"/>
    <w:rsid w:val="00E01F4E"/>
    <w:rsid w:val="00E02BC6"/>
    <w:rsid w:val="00E038F4"/>
    <w:rsid w:val="00E03F93"/>
    <w:rsid w:val="00E04908"/>
    <w:rsid w:val="00E072F7"/>
    <w:rsid w:val="00E10A5B"/>
    <w:rsid w:val="00E12718"/>
    <w:rsid w:val="00E1358C"/>
    <w:rsid w:val="00E14208"/>
    <w:rsid w:val="00E177F0"/>
    <w:rsid w:val="00E238E1"/>
    <w:rsid w:val="00E25D9B"/>
    <w:rsid w:val="00E27B81"/>
    <w:rsid w:val="00E31C2E"/>
    <w:rsid w:val="00E332EF"/>
    <w:rsid w:val="00E33F8E"/>
    <w:rsid w:val="00E42F64"/>
    <w:rsid w:val="00E445CF"/>
    <w:rsid w:val="00E50D4A"/>
    <w:rsid w:val="00E526B4"/>
    <w:rsid w:val="00E53456"/>
    <w:rsid w:val="00E537D8"/>
    <w:rsid w:val="00E545BA"/>
    <w:rsid w:val="00E552B3"/>
    <w:rsid w:val="00E60F11"/>
    <w:rsid w:val="00E61E48"/>
    <w:rsid w:val="00E643DB"/>
    <w:rsid w:val="00E725CE"/>
    <w:rsid w:val="00E73D62"/>
    <w:rsid w:val="00E773B0"/>
    <w:rsid w:val="00E80AFF"/>
    <w:rsid w:val="00E82535"/>
    <w:rsid w:val="00E83762"/>
    <w:rsid w:val="00E85CCA"/>
    <w:rsid w:val="00E867D5"/>
    <w:rsid w:val="00E900E7"/>
    <w:rsid w:val="00E90BC3"/>
    <w:rsid w:val="00E9291E"/>
    <w:rsid w:val="00E942BC"/>
    <w:rsid w:val="00E94FBA"/>
    <w:rsid w:val="00EA0C7B"/>
    <w:rsid w:val="00EA1770"/>
    <w:rsid w:val="00EA3D63"/>
    <w:rsid w:val="00EA4FBE"/>
    <w:rsid w:val="00EA5329"/>
    <w:rsid w:val="00EB0DAB"/>
    <w:rsid w:val="00EB2C81"/>
    <w:rsid w:val="00EB56A6"/>
    <w:rsid w:val="00EB7C9F"/>
    <w:rsid w:val="00EC0A86"/>
    <w:rsid w:val="00EC0FEC"/>
    <w:rsid w:val="00ED1ACA"/>
    <w:rsid w:val="00ED5C11"/>
    <w:rsid w:val="00ED7B38"/>
    <w:rsid w:val="00ED7E17"/>
    <w:rsid w:val="00EE22FD"/>
    <w:rsid w:val="00EE5F0F"/>
    <w:rsid w:val="00EF3874"/>
    <w:rsid w:val="00EF5C4B"/>
    <w:rsid w:val="00F01291"/>
    <w:rsid w:val="00F029BA"/>
    <w:rsid w:val="00F06B28"/>
    <w:rsid w:val="00F13325"/>
    <w:rsid w:val="00F20765"/>
    <w:rsid w:val="00F2339F"/>
    <w:rsid w:val="00F2356D"/>
    <w:rsid w:val="00F23F3C"/>
    <w:rsid w:val="00F24C43"/>
    <w:rsid w:val="00F25337"/>
    <w:rsid w:val="00F33610"/>
    <w:rsid w:val="00F36EF9"/>
    <w:rsid w:val="00F402B3"/>
    <w:rsid w:val="00F41BEA"/>
    <w:rsid w:val="00F41F25"/>
    <w:rsid w:val="00F45AAF"/>
    <w:rsid w:val="00F478E2"/>
    <w:rsid w:val="00F47B88"/>
    <w:rsid w:val="00F51B3D"/>
    <w:rsid w:val="00F52BE4"/>
    <w:rsid w:val="00F61C5F"/>
    <w:rsid w:val="00F62702"/>
    <w:rsid w:val="00F62A45"/>
    <w:rsid w:val="00F64D21"/>
    <w:rsid w:val="00F64ED0"/>
    <w:rsid w:val="00F6691A"/>
    <w:rsid w:val="00F84148"/>
    <w:rsid w:val="00F85BA2"/>
    <w:rsid w:val="00F86CA2"/>
    <w:rsid w:val="00F95875"/>
    <w:rsid w:val="00FA02E6"/>
    <w:rsid w:val="00FA4CD5"/>
    <w:rsid w:val="00FA688A"/>
    <w:rsid w:val="00FA7530"/>
    <w:rsid w:val="00FB29DF"/>
    <w:rsid w:val="00FB33F7"/>
    <w:rsid w:val="00FB37A2"/>
    <w:rsid w:val="00FB4C0A"/>
    <w:rsid w:val="00FB686F"/>
    <w:rsid w:val="00FB7090"/>
    <w:rsid w:val="00FC322A"/>
    <w:rsid w:val="00FC3639"/>
    <w:rsid w:val="00FC4AB1"/>
    <w:rsid w:val="00FC53C3"/>
    <w:rsid w:val="00FC5B76"/>
    <w:rsid w:val="00FD3435"/>
    <w:rsid w:val="00FD3D0E"/>
    <w:rsid w:val="00FD5935"/>
    <w:rsid w:val="00FD795B"/>
    <w:rsid w:val="00FE0841"/>
    <w:rsid w:val="00FE3D3F"/>
    <w:rsid w:val="00FF187A"/>
    <w:rsid w:val="00FF1C03"/>
    <w:rsid w:val="00FF245C"/>
    <w:rsid w:val="00FF246D"/>
    <w:rsid w:val="00FF5A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style="mso-position-vertical-relative:line" o:allowoverlap="f" fill="f" fillcolor="white" stroke="f">
      <v:fill color="white" on="f"/>
      <v:stroke on="f"/>
    </o:shapedefaults>
    <o:shapelayout v:ext="edit">
      <o:idmap v:ext="edit" data="1"/>
    </o:shapelayout>
  </w:shapeDefaults>
  <w:decimalSymbol w:val=","/>
  <w:listSeparator w:val=","/>
  <w14:docId w14:val="620F5097"/>
  <w15:docId w15:val="{44232708-8007-4438-937F-555F999E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eastAsia="MS Mincho" w:hAnsi="Arial Narrow"/>
      <w:sz w:val="24"/>
      <w:szCs w:val="24"/>
      <w:lang w:val="es-ES" w:eastAsia="es-ES"/>
    </w:rPr>
  </w:style>
  <w:style w:type="paragraph" w:styleId="Ttulo1">
    <w:name w:val="heading 1"/>
    <w:basedOn w:val="Normal"/>
    <w:next w:val="Normal"/>
    <w:qFormat/>
    <w:pPr>
      <w:keepNext/>
      <w:jc w:val="center"/>
      <w:outlineLvl w:val="0"/>
    </w:pPr>
    <w:rPr>
      <w:rFonts w:ascii="Arial" w:hAnsi="Arial"/>
      <w:b/>
      <w:sz w:val="20"/>
    </w:rPr>
  </w:style>
  <w:style w:type="paragraph" w:styleId="Ttulo2">
    <w:name w:val="heading 2"/>
    <w:basedOn w:val="Normal"/>
    <w:next w:val="Normal"/>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qFormat/>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pPr>
      <w:keepNext/>
      <w:jc w:val="both"/>
      <w:outlineLvl w:val="4"/>
    </w:pPr>
    <w:rPr>
      <w:rFonts w:ascii="Arial" w:eastAsia="Times New Roman" w:hAnsi="Arial"/>
      <w:b/>
      <w:sz w:val="20"/>
      <w:szCs w:val="20"/>
    </w:rPr>
  </w:style>
  <w:style w:type="paragraph" w:styleId="Ttulo6">
    <w:name w:val="heading 6"/>
    <w:basedOn w:val="Normal"/>
    <w:next w:val="Normal"/>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qFormat/>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NormalWeb">
    <w:name w:val="Normal (Web)"/>
    <w:basedOn w:val="Normal"/>
    <w:uiPriority w:val="99"/>
    <w:pPr>
      <w:spacing w:before="100" w:beforeAutospacing="1" w:after="100" w:afterAutospacing="1"/>
    </w:pPr>
    <w:rPr>
      <w:rFonts w:eastAsia="Times New Roman"/>
      <w:color w:val="000000"/>
      <w:lang w:val="en-US" w:eastAsia="en-US"/>
    </w:rPr>
  </w:style>
  <w:style w:type="paragraph" w:styleId="Textoindependiente3">
    <w:name w:val="Body Text 3"/>
    <w:basedOn w:val="Normal"/>
    <w:pPr>
      <w:widowControl w:val="0"/>
    </w:pPr>
    <w:rPr>
      <w:rFonts w:ascii="CG Omega" w:eastAsia="Times New Roman" w:hAnsi="CG Omega"/>
      <w:b/>
      <w:snapToGrid w:val="0"/>
      <w:sz w:val="20"/>
      <w:lang w:val="en-US"/>
    </w:rPr>
  </w:style>
  <w:style w:type="character" w:styleId="Nmerodepgina">
    <w:name w:val="page number"/>
    <w:basedOn w:val="Fuentedeprrafopredeter"/>
  </w:style>
  <w:style w:type="paragraph" w:styleId="Textodeglobo">
    <w:name w:val="Balloon Text"/>
    <w:basedOn w:val="Normal"/>
    <w:semiHidden/>
    <w:rPr>
      <w:rFonts w:ascii="Tahoma" w:hAnsi="Tahoma" w:cs="MS Mincho"/>
      <w:sz w:val="16"/>
      <w:szCs w:val="16"/>
    </w:rPr>
  </w:style>
  <w:style w:type="paragraph" w:styleId="Textoindependiente2">
    <w:name w:val="Body Text 2"/>
    <w:basedOn w:val="Normal"/>
    <w:link w:val="Textoindependiente2Car"/>
    <w:pPr>
      <w:jc w:val="both"/>
    </w:pPr>
    <w:rPr>
      <w:rFonts w:ascii="Arial" w:eastAsia="Times New Roman" w:hAnsi="Arial"/>
      <w:szCs w:val="20"/>
    </w:rPr>
  </w:style>
  <w:style w:type="paragraph" w:styleId="Textoindependiente">
    <w:name w:val="Body Text"/>
    <w:basedOn w:val="Normal"/>
    <w:link w:val="TextoindependienteCar"/>
    <w:pPr>
      <w:spacing w:after="120"/>
    </w:pPr>
  </w:style>
  <w:style w:type="paragraph" w:customStyle="1" w:styleId="Ttulo10">
    <w:name w:val="Título1"/>
    <w:basedOn w:val="Normal"/>
    <w:qFormat/>
    <w:pPr>
      <w:spacing w:before="240" w:after="60"/>
      <w:jc w:val="center"/>
      <w:outlineLvl w:val="0"/>
    </w:pPr>
    <w:rPr>
      <w:rFonts w:ascii="Arial" w:hAnsi="Arial"/>
      <w:b/>
      <w:kern w:val="28"/>
      <w:sz w:val="32"/>
    </w:rPr>
  </w:style>
  <w:style w:type="paragraph" w:styleId="Subttulo">
    <w:name w:val="Subtitle"/>
    <w:basedOn w:val="Normal"/>
    <w:qFormat/>
    <w:pPr>
      <w:spacing w:after="60"/>
      <w:jc w:val="center"/>
      <w:outlineLvl w:val="1"/>
    </w:pPr>
    <w:rPr>
      <w:rFonts w:ascii="Arial" w:hAnsi="Arial"/>
    </w:rPr>
  </w:style>
  <w:style w:type="paragraph" w:styleId="Sangradetextonormal">
    <w:name w:val="Body Text Indent"/>
    <w:basedOn w:val="Normal"/>
    <w:link w:val="SangradetextonormalCar"/>
    <w:rsid w:val="009F7C49"/>
    <w:pPr>
      <w:spacing w:after="120"/>
      <w:ind w:left="283"/>
    </w:p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 w:type="paragraph" w:styleId="Textodebloque">
    <w:name w:val="Block Text"/>
    <w:basedOn w:val="Normal"/>
    <w:rsid w:val="00F33610"/>
    <w:pPr>
      <w:tabs>
        <w:tab w:val="left" w:pos="-720"/>
      </w:tabs>
      <w:suppressAutoHyphens/>
      <w:ind w:left="708" w:right="1076"/>
      <w:jc w:val="both"/>
    </w:pPr>
    <w:rPr>
      <w:rFonts w:ascii="CG Omega" w:eastAsia="Wingdings" w:hAnsi="CG Omega" w:cs="Tahoma"/>
      <w:i/>
    </w:rPr>
  </w:style>
  <w:style w:type="character" w:styleId="Textoennegrita">
    <w:name w:val="Strong"/>
    <w:qFormat/>
    <w:rsid w:val="00F33610"/>
    <w:rPr>
      <w:b/>
      <w:bCs/>
    </w:rPr>
  </w:style>
  <w:style w:type="character" w:styleId="nfasis">
    <w:name w:val="Emphasis"/>
    <w:qFormat/>
    <w:rsid w:val="00F33610"/>
    <w:rPr>
      <w:i/>
      <w:iCs/>
    </w:rPr>
  </w:style>
  <w:style w:type="character" w:styleId="Hipervnculo">
    <w:name w:val="Hyperlink"/>
    <w:uiPriority w:val="99"/>
    <w:unhideWhenUsed/>
    <w:rsid w:val="00F33610"/>
    <w:rPr>
      <w:color w:val="0000FF"/>
      <w:u w:val="single"/>
    </w:rPr>
  </w:style>
  <w:style w:type="paragraph" w:styleId="Prrafodelista">
    <w:name w:val="List Paragraph"/>
    <w:aliases w:val="Bolita,BOLADEF,BOLA,Guión,Titulo 8,Párrafo de lista4,Párrafo de lista5,Párrafo de lista21,List Paragraph,Párrafo de lista1,MIBEX B,TITULO 2,Fluvial1"/>
    <w:basedOn w:val="Normal"/>
    <w:link w:val="PrrafodelistaCar"/>
    <w:uiPriority w:val="34"/>
    <w:qFormat/>
    <w:rsid w:val="00F33610"/>
    <w:pPr>
      <w:ind w:left="708"/>
    </w:pPr>
    <w:rPr>
      <w:rFonts w:ascii="Verdana" w:eastAsia="Wingdings" w:hAnsi="Verdana" w:cs="Tahoma"/>
    </w:rPr>
  </w:style>
  <w:style w:type="table" w:styleId="Tablaconcuadrcula">
    <w:name w:val="Table Grid"/>
    <w:basedOn w:val="Tablanormal"/>
    <w:uiPriority w:val="39"/>
    <w:rsid w:val="00F33610"/>
    <w:rPr>
      <w:rFonts w:ascii="Tahoma" w:eastAsia="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F33610"/>
    <w:rPr>
      <w:sz w:val="16"/>
      <w:szCs w:val="16"/>
    </w:rPr>
  </w:style>
  <w:style w:type="paragraph" w:styleId="Textocomentario">
    <w:name w:val="annotation text"/>
    <w:basedOn w:val="Normal"/>
    <w:link w:val="TextocomentarioCar"/>
    <w:uiPriority w:val="99"/>
    <w:rsid w:val="00F33610"/>
    <w:rPr>
      <w:rFonts w:ascii="Verdana" w:eastAsia="Wingdings" w:hAnsi="Verdana" w:cs="Tahoma"/>
      <w:sz w:val="20"/>
      <w:szCs w:val="20"/>
    </w:rPr>
  </w:style>
  <w:style w:type="character" w:customStyle="1" w:styleId="TextocomentarioCar">
    <w:name w:val="Texto comentario Car"/>
    <w:basedOn w:val="Fuentedeprrafopredeter"/>
    <w:link w:val="Textocomentario"/>
    <w:uiPriority w:val="99"/>
    <w:rsid w:val="00F33610"/>
    <w:rPr>
      <w:rFonts w:ascii="Verdana" w:eastAsia="Wingdings" w:hAnsi="Verdana" w:cs="Tahoma"/>
      <w:lang w:val="es-ES" w:eastAsia="es-ES"/>
    </w:rPr>
  </w:style>
  <w:style w:type="paragraph" w:styleId="Asuntodelcomentario">
    <w:name w:val="annotation subject"/>
    <w:basedOn w:val="Textocomentario"/>
    <w:next w:val="Textocomentario"/>
    <w:link w:val="AsuntodelcomentarioCar"/>
    <w:rsid w:val="00F33610"/>
    <w:rPr>
      <w:b/>
      <w:bCs/>
    </w:rPr>
  </w:style>
  <w:style w:type="character" w:customStyle="1" w:styleId="AsuntodelcomentarioCar">
    <w:name w:val="Asunto del comentario Car"/>
    <w:basedOn w:val="TextocomentarioCar"/>
    <w:link w:val="Asuntodelcomentario"/>
    <w:rsid w:val="00F33610"/>
    <w:rPr>
      <w:rFonts w:ascii="Verdana" w:eastAsia="Wingdings" w:hAnsi="Verdana" w:cs="Tahoma"/>
      <w:b/>
      <w:bCs/>
      <w:lang w:val="es-ES" w:eastAsia="es-ES"/>
    </w:rPr>
  </w:style>
  <w:style w:type="character" w:customStyle="1" w:styleId="EncabezadoCar">
    <w:name w:val="Encabezado Car"/>
    <w:link w:val="Encabezado"/>
    <w:uiPriority w:val="99"/>
    <w:rsid w:val="00F33610"/>
    <w:rPr>
      <w:rFonts w:ascii="Arial Narrow" w:eastAsia="MS Mincho" w:hAnsi="Arial Narrow"/>
      <w:sz w:val="24"/>
      <w:szCs w:val="24"/>
      <w:lang w:val="es-ES" w:eastAsia="es-ES"/>
    </w:rPr>
  </w:style>
  <w:style w:type="paragraph" w:customStyle="1" w:styleId="estilo1">
    <w:name w:val="estilo1"/>
    <w:basedOn w:val="Normal"/>
    <w:rsid w:val="00F33610"/>
    <w:pPr>
      <w:spacing w:before="230" w:after="230" w:line="216" w:lineRule="atLeast"/>
      <w:ind w:left="230" w:right="230"/>
    </w:pPr>
    <w:rPr>
      <w:rFonts w:eastAsia="Tahoma" w:cs="Tahoma"/>
      <w:color w:val="000000"/>
      <w:sz w:val="18"/>
      <w:szCs w:val="18"/>
    </w:rPr>
  </w:style>
  <w:style w:type="character" w:customStyle="1" w:styleId="st1">
    <w:name w:val="st1"/>
    <w:basedOn w:val="Fuentedeprrafopredeter"/>
    <w:rsid w:val="00F33610"/>
  </w:style>
  <w:style w:type="character" w:customStyle="1" w:styleId="textonavy1">
    <w:name w:val="texto_navy1"/>
    <w:rsid w:val="00F33610"/>
    <w:rPr>
      <w:color w:val="000080"/>
    </w:rPr>
  </w:style>
  <w:style w:type="character" w:customStyle="1" w:styleId="apple-converted-space">
    <w:name w:val="apple-converted-space"/>
    <w:rsid w:val="00F33610"/>
  </w:style>
  <w:style w:type="character" w:customStyle="1" w:styleId="TextoindependienteCar">
    <w:name w:val="Texto independiente Car"/>
    <w:link w:val="Textoindependiente"/>
    <w:rsid w:val="00F33610"/>
    <w:rPr>
      <w:rFonts w:ascii="Arial Narrow" w:eastAsia="MS Mincho" w:hAnsi="Arial Narrow"/>
      <w:sz w:val="24"/>
      <w:szCs w:val="24"/>
      <w:lang w:val="es-ES" w:eastAsia="es-ES"/>
    </w:rPr>
  </w:style>
  <w:style w:type="paragraph" w:styleId="Revisin">
    <w:name w:val="Revision"/>
    <w:hidden/>
    <w:uiPriority w:val="99"/>
    <w:semiHidden/>
    <w:rsid w:val="00F33610"/>
    <w:rPr>
      <w:rFonts w:ascii="Verdana" w:eastAsia="Wingdings" w:hAnsi="Verdana" w:cs="Tahoma"/>
      <w:sz w:val="24"/>
      <w:szCs w:val="24"/>
      <w:lang w:val="es-ES" w:eastAsia="es-ES"/>
    </w:rPr>
  </w:style>
  <w:style w:type="character" w:customStyle="1" w:styleId="Textoindependiente2Car">
    <w:name w:val="Texto independiente 2 Car"/>
    <w:link w:val="Textoindependiente2"/>
    <w:rsid w:val="00F33610"/>
    <w:rPr>
      <w:rFonts w:ascii="Arial" w:hAnsi="Arial"/>
      <w:sz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 Car Car,Texto nota pie1"/>
    <w:basedOn w:val="Normal"/>
    <w:link w:val="TextonotapieCar1"/>
    <w:qFormat/>
    <w:rsid w:val="00F33610"/>
    <w:pPr>
      <w:overflowPunct w:val="0"/>
      <w:autoSpaceDE w:val="0"/>
      <w:autoSpaceDN w:val="0"/>
      <w:adjustRightInd w:val="0"/>
      <w:textAlignment w:val="baseline"/>
    </w:pPr>
    <w:rPr>
      <w:rFonts w:ascii="Tahoma" w:eastAsia="Tahoma" w:hAnsi="Tahoma" w:cs="Tahoma"/>
      <w:color w:val="000000"/>
      <w:sz w:val="20"/>
      <w:szCs w:val="20"/>
      <w:lang w:val="es-ES_tradnl" w:eastAsia="es-MX"/>
    </w:rPr>
  </w:style>
  <w:style w:type="character" w:customStyle="1" w:styleId="TextonotapieCar">
    <w:name w:val="Texto nota pie Car"/>
    <w:aliases w:val="Texto nota pie1 Car, Car Car Car, Car Car1"/>
    <w:basedOn w:val="Fuentedeprrafopredeter"/>
    <w:rsid w:val="00F33610"/>
    <w:rPr>
      <w:rFonts w:ascii="Arial Narrow" w:eastAsia="MS Mincho" w:hAnsi="Arial Narrow"/>
      <w:lang w:val="es-ES" w:eastAsia="es-ES"/>
    </w:rPr>
  </w:style>
  <w:style w:type="character" w:customStyle="1" w:styleId="TextonotapieCar1">
    <w:name w:val="Texto nota pie Car1"/>
    <w:aliases w:val="Footnote Text Char Char Char Char Char Car,Footnote Text Char Char Char Char Car,Footnote reference Car,FA Fu Car,Footnote Text Cha Car,Footnote Text Char Char Char Car,FA Fußnotentext Car,FA Fuﬂnotentext Car,FA Fu Car Car Car"/>
    <w:link w:val="Textonotapie"/>
    <w:locked/>
    <w:rsid w:val="00F33610"/>
    <w:rPr>
      <w:rFonts w:ascii="Tahoma" w:eastAsia="Tahoma" w:hAnsi="Tahoma" w:cs="Tahoma"/>
      <w:color w:val="000000"/>
      <w:lang w:val="es-ES_tradnl" w:eastAsia="es-MX"/>
    </w:rPr>
  </w:style>
  <w:style w:type="character" w:styleId="Refdenotaalpie">
    <w:name w:val="footnote reference"/>
    <w:aliases w:val="Ref. de nota al pie 2,Pie de Página,FC,Nota de pie,Nota de pie1,Ref. de nota al pieREF1"/>
    <w:rsid w:val="00F33610"/>
    <w:rPr>
      <w:rFonts w:cs="Tahoma"/>
      <w:vertAlign w:val="superscript"/>
    </w:rPr>
  </w:style>
  <w:style w:type="paragraph" w:customStyle="1" w:styleId="Default">
    <w:name w:val="Default"/>
    <w:rsid w:val="00F33610"/>
    <w:pPr>
      <w:autoSpaceDE w:val="0"/>
      <w:autoSpaceDN w:val="0"/>
      <w:adjustRightInd w:val="0"/>
    </w:pPr>
    <w:rPr>
      <w:rFonts w:ascii="Verdana" w:eastAsia="Tahoma" w:hAnsi="Verdana" w:cs="Verdana"/>
      <w:color w:val="000000"/>
      <w:sz w:val="24"/>
      <w:szCs w:val="24"/>
    </w:rPr>
  </w:style>
  <w:style w:type="paragraph" w:customStyle="1" w:styleId="CitaLarga">
    <w:name w:val="Cita Larga"/>
    <w:basedOn w:val="Normal"/>
    <w:qFormat/>
    <w:rsid w:val="00F33610"/>
    <w:pPr>
      <w:shd w:val="clear" w:color="auto" w:fill="FFFFFF"/>
      <w:ind w:left="567" w:right="567"/>
      <w:jc w:val="both"/>
    </w:pPr>
    <w:rPr>
      <w:rFonts w:ascii="CG Omega" w:eastAsia="Tahoma" w:hAnsi="CG Omega" w:cs="Tahoma"/>
      <w:iCs/>
      <w:color w:val="222222"/>
      <w:sz w:val="18"/>
      <w:szCs w:val="18"/>
      <w:lang w:eastAsia="es-CO"/>
    </w:rPr>
  </w:style>
  <w:style w:type="character" w:customStyle="1" w:styleId="PrrafodelistaCar">
    <w:name w:val="Párrafo de lista Car"/>
    <w:aliases w:val="Bolita Car,BOLADEF Car,BOLA Car,Guión Car,Titulo 8 Car,Párrafo de lista4 Car,Párrafo de lista5 Car,Párrafo de lista21 Car,List Paragraph Car,Párrafo de lista1 Car,MIBEX B Car,TITULO 2 Car,Fluvial1 Car"/>
    <w:link w:val="Prrafodelista"/>
    <w:uiPriority w:val="34"/>
    <w:locked/>
    <w:rsid w:val="00F33610"/>
    <w:rPr>
      <w:rFonts w:ascii="Verdana" w:eastAsia="Wingdings" w:hAnsi="Verdana" w:cs="Tahoma"/>
      <w:sz w:val="24"/>
      <w:szCs w:val="24"/>
      <w:lang w:val="es-ES" w:eastAsia="es-ES"/>
    </w:rPr>
  </w:style>
  <w:style w:type="paragraph" w:styleId="Sinespaciado">
    <w:name w:val="No Spacing"/>
    <w:uiPriority w:val="1"/>
    <w:qFormat/>
    <w:rsid w:val="00F33610"/>
    <w:rPr>
      <w:rFonts w:ascii="Tahoma" w:eastAsia="Tahoma" w:hAnsi="Tahoma" w:cs="Tahoma"/>
      <w:sz w:val="24"/>
      <w:szCs w:val="24"/>
      <w:lang w:eastAsia="es-ES"/>
    </w:rPr>
  </w:style>
  <w:style w:type="paragraph" w:customStyle="1" w:styleId="section1">
    <w:name w:val="section1"/>
    <w:basedOn w:val="Normal"/>
    <w:rsid w:val="00F33610"/>
    <w:pPr>
      <w:spacing w:before="100" w:beforeAutospacing="1" w:after="100" w:afterAutospacing="1"/>
    </w:pPr>
    <w:rPr>
      <w:rFonts w:ascii="Tahoma" w:eastAsia="Tahoma" w:hAnsi="Tahoma" w:cs="Tahoma"/>
      <w:lang w:val="es-CO" w:eastAsia="es-CO"/>
    </w:rPr>
  </w:style>
  <w:style w:type="paragraph" w:customStyle="1" w:styleId="Ttulo11">
    <w:name w:val="Título11"/>
    <w:basedOn w:val="Normal"/>
    <w:qFormat/>
    <w:rsid w:val="007B2323"/>
    <w:pPr>
      <w:spacing w:before="240" w:after="60"/>
      <w:jc w:val="center"/>
      <w:outlineLvl w:val="0"/>
    </w:pPr>
    <w:rPr>
      <w:rFonts w:ascii="Arial" w:hAnsi="Arial"/>
      <w:b/>
      <w:kern w:val="28"/>
      <w:sz w:val="32"/>
    </w:rPr>
  </w:style>
  <w:style w:type="character" w:customStyle="1" w:styleId="PiedepginaCar">
    <w:name w:val="Pie de página Car"/>
    <w:basedOn w:val="Fuentedeprrafopredeter"/>
    <w:link w:val="Piedepgina"/>
    <w:uiPriority w:val="99"/>
    <w:rsid w:val="007B2323"/>
    <w:rPr>
      <w:rFonts w:ascii="Arial Narrow" w:eastAsia="MS Mincho" w:hAnsi="Arial Narrow"/>
      <w:sz w:val="24"/>
      <w:szCs w:val="24"/>
      <w:lang w:val="es-ES" w:eastAsia="es-ES"/>
    </w:rPr>
  </w:style>
  <w:style w:type="paragraph" w:styleId="Textonotaalfinal">
    <w:name w:val="endnote text"/>
    <w:basedOn w:val="Normal"/>
    <w:link w:val="TextonotaalfinalCar"/>
    <w:unhideWhenUsed/>
    <w:rsid w:val="007B2323"/>
    <w:rPr>
      <w:sz w:val="20"/>
      <w:szCs w:val="20"/>
    </w:rPr>
  </w:style>
  <w:style w:type="character" w:customStyle="1" w:styleId="TextonotaalfinalCar">
    <w:name w:val="Texto nota al final Car"/>
    <w:basedOn w:val="Fuentedeprrafopredeter"/>
    <w:link w:val="Textonotaalfinal"/>
    <w:rsid w:val="007B2323"/>
    <w:rPr>
      <w:rFonts w:ascii="Arial Narrow" w:eastAsia="MS Mincho" w:hAnsi="Arial Narrow"/>
      <w:lang w:val="es-ES" w:eastAsia="es-ES"/>
    </w:rPr>
  </w:style>
  <w:style w:type="character" w:styleId="Refdenotaalfinal">
    <w:name w:val="endnote reference"/>
    <w:basedOn w:val="Fuentedeprrafopredeter"/>
    <w:unhideWhenUsed/>
    <w:rsid w:val="007B2323"/>
    <w:rPr>
      <w:vertAlign w:val="superscript"/>
    </w:rPr>
  </w:style>
  <w:style w:type="paragraph" w:styleId="Lista">
    <w:name w:val="List"/>
    <w:basedOn w:val="Normal"/>
    <w:rsid w:val="002D4DEF"/>
    <w:pPr>
      <w:ind w:left="283" w:hanging="283"/>
      <w:contextualSpacing/>
    </w:pPr>
  </w:style>
  <w:style w:type="paragraph" w:styleId="Lista2">
    <w:name w:val="List 2"/>
    <w:basedOn w:val="Normal"/>
    <w:rsid w:val="002D4DEF"/>
    <w:pPr>
      <w:ind w:left="566" w:hanging="283"/>
      <w:contextualSpacing/>
    </w:pPr>
  </w:style>
  <w:style w:type="paragraph" w:styleId="Lista3">
    <w:name w:val="List 3"/>
    <w:basedOn w:val="Normal"/>
    <w:rsid w:val="002D4DEF"/>
    <w:pPr>
      <w:ind w:left="849" w:hanging="283"/>
      <w:contextualSpacing/>
    </w:pPr>
  </w:style>
  <w:style w:type="paragraph" w:styleId="Lista4">
    <w:name w:val="List 4"/>
    <w:basedOn w:val="Normal"/>
    <w:rsid w:val="002D4DEF"/>
    <w:pPr>
      <w:ind w:left="1132" w:hanging="283"/>
      <w:contextualSpacing/>
    </w:pPr>
  </w:style>
  <w:style w:type="paragraph" w:customStyle="1" w:styleId="ListaCC">
    <w:name w:val="Lista CC."/>
    <w:basedOn w:val="Normal"/>
    <w:rsid w:val="002D4DEF"/>
  </w:style>
  <w:style w:type="paragraph" w:styleId="Continuarlista">
    <w:name w:val="List Continue"/>
    <w:basedOn w:val="Normal"/>
    <w:rsid w:val="002D4DEF"/>
    <w:pPr>
      <w:spacing w:after="120"/>
      <w:ind w:left="283"/>
      <w:contextualSpacing/>
    </w:pPr>
  </w:style>
  <w:style w:type="paragraph" w:styleId="Continuarlista2">
    <w:name w:val="List Continue 2"/>
    <w:basedOn w:val="Normal"/>
    <w:rsid w:val="002D4DEF"/>
    <w:pPr>
      <w:spacing w:after="120"/>
      <w:ind w:left="566"/>
      <w:contextualSpacing/>
    </w:pPr>
  </w:style>
  <w:style w:type="paragraph" w:styleId="Textoindependienteprimerasangra2">
    <w:name w:val="Body Text First Indent 2"/>
    <w:basedOn w:val="Sangradetextonormal"/>
    <w:link w:val="Textoindependienteprimerasangra2Car"/>
    <w:rsid w:val="002D4DEF"/>
    <w:pPr>
      <w:spacing w:after="0"/>
      <w:ind w:left="360" w:firstLine="360"/>
    </w:pPr>
  </w:style>
  <w:style w:type="character" w:customStyle="1" w:styleId="SangradetextonormalCar">
    <w:name w:val="Sangría de texto normal Car"/>
    <w:basedOn w:val="Fuentedeprrafopredeter"/>
    <w:link w:val="Sangradetextonormal"/>
    <w:rsid w:val="002D4DEF"/>
    <w:rPr>
      <w:rFonts w:ascii="Arial Narrow" w:eastAsia="MS Mincho" w:hAnsi="Arial Narrow"/>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2D4DEF"/>
    <w:rPr>
      <w:rFonts w:ascii="Arial Narrow" w:eastAsia="MS Mincho" w:hAnsi="Arial Narrow"/>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83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4FB76-0655-4372-ADB9-FBAEB516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13</TotalTime>
  <Pages>6</Pages>
  <Words>2442</Words>
  <Characters>13431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15842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de Minas y Energia</dc:creator>
  <cp:keywords/>
  <dc:description/>
  <cp:lastModifiedBy>CLAUDIA VIVIANA BALLESTEROS ORTIZ</cp:lastModifiedBy>
  <cp:revision>5</cp:revision>
  <cp:lastPrinted>2016-12-23T12:55:00Z</cp:lastPrinted>
  <dcterms:created xsi:type="dcterms:W3CDTF">2016-12-27T21:13:00Z</dcterms:created>
  <dcterms:modified xsi:type="dcterms:W3CDTF">2016-12-27T21:25:00Z</dcterms:modified>
</cp:coreProperties>
</file>