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E300B" w14:textId="27F82799" w:rsidR="002E36BC" w:rsidRDefault="00AB1EF7">
      <w:pPr>
        <w:jc w:val="center"/>
        <w:rPr>
          <w:b/>
          <w:sz w:val="36"/>
          <w:szCs w:val="36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0939233" wp14:editId="15425CFE">
                <wp:simplePos x="0" y="0"/>
                <wp:positionH relativeFrom="page">
                  <wp:align>left</wp:align>
                </wp:positionH>
                <wp:positionV relativeFrom="paragraph">
                  <wp:posOffset>176530</wp:posOffset>
                </wp:positionV>
                <wp:extent cx="7567613" cy="1038225"/>
                <wp:effectExtent l="0" t="0" r="0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7613" cy="1038225"/>
                        </a:xfrm>
                        <a:prstGeom prst="rect">
                          <a:avLst/>
                        </a:prstGeom>
                        <a:solidFill>
                          <a:srgbClr val="0C90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1E4906" w14:textId="7613E5D5" w:rsidR="008E69FF" w:rsidRDefault="00865F9F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noProof/>
                                <w:lang w:val="es-CO"/>
                              </w:rPr>
                              <w:drawing>
                                <wp:inline distT="0" distB="0" distL="0" distR="0" wp14:anchorId="746500A1" wp14:editId="61D62230">
                                  <wp:extent cx="2923794" cy="466724"/>
                                  <wp:effectExtent l="0" t="0" r="0" b="0"/>
                                  <wp:docPr id="3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3794" cy="466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39233" id="Rectángulo 5" o:spid="_x0000_s1026" style="position:absolute;left:0;text-align:left;margin-left:0;margin-top:13.9pt;width:595.9pt;height:81.7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cZ3wEAAKIDAAAOAAAAZHJzL2Uyb0RvYy54bWysU1uO0zAU/UdiD5b/aZIO7UyjpiPUURHS&#10;CCoGFuA4TmPJL67dJl0Oa2FjXDuhU5i/ET+Oj+/D5xzfrO8HrchJgJfWVLSY5ZQIw20jzaGi37/t&#10;3t1R4gMzDVPWiIqehaf3m7dv1r0rxdx2VjUCCDYxvuxdRbsQXJllnndCMz+zThgMthY0CwjhkDXA&#10;euyuVTbP82XWW2gcWC68x9OHMUg3qX/bCh6+tK0XgaiKIreQVkhrHddss2blAZjrJJ9osFew0Ewa&#10;vPTS6oEFRo4gX7TSkoP1tg0zbnVm21ZykTSgmiL/R81Tx5xIWtAc7y42+f/Xln8+7YHIpqILSgzT&#10;+ERf0bRfP83hqCxZRIN650vMe3J7mJDHbVQ7tKDjF3WQIZl6vpgqhkA4Ht4ulrfL4oYSjrEiv7mb&#10;z1PX7LncgQ8fhdUkbioKSCCZyU6PPuCVmPonJd7mrZLNTiqVABzqrQJyYvGFt6t8uYqcseSvNGVi&#10;srGxbAzHkyxKG8XEXRjqYVJY2+aMxnjHdxJJPTIf9gxwNApKehyXivofRwaCEvXJ4Husivcoi4Rr&#10;ANegvgbM8M7iFPIAlIxgG9JUjiw/HINtZZIeeY1kJro4CEneNLRx0q5xynr+tTa/AQAA//8DAFBL&#10;AwQUAAYACAAAACEAKRw2F90AAAAIAQAADwAAAGRycy9kb3ducmV2LnhtbEyPzU7DMBCE70i8g7VI&#10;XBB10kpAQpwK8XMrqmh5gG28TaLGdhRv08DTsz3R26xmNPtNsZxcp0YaYhu8gXSWgCJfBdv62sD3&#10;9uP+CVRk9Ba74MnAD0VYltdXBeY2nPwXjRuulZT4mKOBhrnPtY5VQw7jLPTkxduHwSHLOdTaDniS&#10;ctfpeZI8aIetlw8N9vTaUHXYHJ0Bvgu8Sj4z7N9/D6vterHHt3FtzO3N9PIMimni/zCc8QUdSmHa&#10;haO3UXUGZAgbmD8K/9lNs1TUTlSWLkCXhb4cUP4BAAD//wMAUEsBAi0AFAAGAAgAAAAhALaDOJL+&#10;AAAA4QEAABMAAAAAAAAAAAAAAAAAAAAAAFtDb250ZW50X1R5cGVzXS54bWxQSwECLQAUAAYACAAA&#10;ACEAOP0h/9YAAACUAQAACwAAAAAAAAAAAAAAAAAvAQAAX3JlbHMvLnJlbHNQSwECLQAUAAYACAAA&#10;ACEAR0bHGd8BAACiAwAADgAAAAAAAAAAAAAAAAAuAgAAZHJzL2Uyb0RvYy54bWxQSwECLQAUAAYA&#10;CAAAACEAKRw2F90AAAAIAQAADwAAAAAAAAAAAAAAAAA5BAAAZHJzL2Rvd25yZXYueG1sUEsFBgAA&#10;AAAEAAQA8wAAAEMFAAAAAA==&#10;" fillcolor="#0c9069" stroked="f">
                <v:textbox inset="2.53958mm,2.53958mm,2.53958mm,2.53958mm">
                  <w:txbxContent>
                    <w:p w14:paraId="751E4906" w14:textId="7613E5D5" w:rsidR="008E69FF" w:rsidRDefault="00865F9F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noProof/>
                          <w:lang w:val="es-CO"/>
                        </w:rPr>
                        <w:drawing>
                          <wp:inline distT="0" distB="0" distL="0" distR="0" wp14:anchorId="746500A1" wp14:editId="61D62230">
                            <wp:extent cx="2923794" cy="466724"/>
                            <wp:effectExtent l="0" t="0" r="0" b="0"/>
                            <wp:docPr id="3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23794" cy="4667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45ECFD" w14:textId="77777777" w:rsidR="002E36BC" w:rsidRDefault="002E36BC">
      <w:pPr>
        <w:jc w:val="center"/>
      </w:pPr>
    </w:p>
    <w:p w14:paraId="5FA17B54" w14:textId="77777777" w:rsidR="002E36BC" w:rsidRDefault="002E36BC">
      <w:pPr>
        <w:jc w:val="center"/>
      </w:pPr>
    </w:p>
    <w:p w14:paraId="5105220D" w14:textId="77777777" w:rsidR="002E36BC" w:rsidRDefault="00AB1EF7">
      <w:pPr>
        <w:jc w:val="center"/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95CD1E" wp14:editId="0CF1C012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5891841" cy="2809036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841" cy="2809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29C0AE" w14:textId="77777777" w:rsidR="008E69FF" w:rsidRPr="00987B8F" w:rsidRDefault="008E69FF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Work Sans" w:hAnsi="Work Sans"/>
                                <w:b/>
                                <w:color w:val="3164C9"/>
                                <w:sz w:val="45"/>
                              </w:rPr>
                            </w:pPr>
                          </w:p>
                          <w:p w14:paraId="10D1AE07" w14:textId="77777777" w:rsidR="008E69FF" w:rsidRPr="00987B8F" w:rsidRDefault="008E69FF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Work Sans" w:hAnsi="Work Sans"/>
                                <w:b/>
                                <w:color w:val="3164C9"/>
                                <w:sz w:val="45"/>
                              </w:rPr>
                            </w:pPr>
                          </w:p>
                          <w:p w14:paraId="4E7E65A9" w14:textId="60F2DF68" w:rsidR="008E69FF" w:rsidRPr="00470856" w:rsidRDefault="008E69FF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Work Sans" w:hAnsi="Work Sans"/>
                                <w:b/>
                                <w:color w:val="3164C9"/>
                                <w:sz w:val="45"/>
                              </w:rPr>
                            </w:pPr>
                            <w:r w:rsidRPr="00470856">
                              <w:rPr>
                                <w:rFonts w:ascii="Work Sans" w:hAnsi="Work Sans"/>
                                <w:b/>
                                <w:color w:val="3164C9"/>
                                <w:sz w:val="45"/>
                              </w:rPr>
                              <w:t>EJECUCIÓN</w:t>
                            </w:r>
                            <w:r>
                              <w:t xml:space="preserve"> </w:t>
                            </w:r>
                            <w:r w:rsidRPr="00470856">
                              <w:rPr>
                                <w:rFonts w:ascii="Work Sans" w:hAnsi="Work Sans"/>
                                <w:b/>
                                <w:color w:val="3164C9"/>
                                <w:sz w:val="45"/>
                              </w:rPr>
                              <w:t>PLAN DE ACCIÓN ANUAL</w:t>
                            </w:r>
                          </w:p>
                          <w:p w14:paraId="6E6DC11B" w14:textId="06229B9D" w:rsidR="008E69FF" w:rsidRDefault="008F0970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31849B"/>
                                <w:sz w:val="45"/>
                              </w:rPr>
                            </w:pPr>
                            <w:r>
                              <w:rPr>
                                <w:rFonts w:ascii="Work Sans" w:hAnsi="Work Sans"/>
                                <w:b/>
                                <w:color w:val="3164C9"/>
                                <w:sz w:val="45"/>
                              </w:rPr>
                              <w:t>Septiembre</w:t>
                            </w:r>
                            <w:r w:rsidR="007B56ED">
                              <w:rPr>
                                <w:rFonts w:ascii="Work Sans" w:hAnsi="Work Sans"/>
                                <w:b/>
                                <w:color w:val="3164C9"/>
                                <w:sz w:val="45"/>
                              </w:rPr>
                              <w:t xml:space="preserve"> 2022</w:t>
                            </w:r>
                          </w:p>
                          <w:p w14:paraId="03961BD4" w14:textId="77777777" w:rsidR="008E69FF" w:rsidRDefault="008E69F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5CD1E" id="Rectángulo 4" o:spid="_x0000_s1027" style="position:absolute;left:0;text-align:left;margin-left:0;margin-top:5.75pt;width:463.9pt;height:221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+JzwEAAH4DAAAOAAAAZHJzL2Uyb0RvYy54bWysU1uO0zAU/UdiD5b/aZLSDm3UdIQYFSGN&#10;oJqBBbiO3VjyC1+3SZfDWtgY106nU5i/ET/uffX4nOOb1e1gNDmKAMrZhlaTkhJhuWuV3Tf0x/fN&#10;uwUlEJltmXZWNPQkgN6u375Z9b4WU9c53YpAEMRC3fuGdjH6uiiAd8IwmDgvLDalC4ZFTMO+aAPr&#10;Ed3oYlqWN0XvQuuD4wIAq3djk64zvpSCx29SgohENxS5xXyGfO7SWaxXrN4H5jvFzzTYK1gYpixe&#10;eoG6Y5GRQ1AvoIziwYGTccKdKZyUiousAdVU5T9qHjvmRdaC5oC/2AT/D5Z/PW4DUW1DZ5RYZvCJ&#10;HtC037/s/qAdmSWDeg81zj36bThngGFSO8hg0i/qIEM29XQxVQyRcCzOF8tqMaso4dibLspl+f4m&#10;oRbPf/cB4mfhDElBQwMSyGay4z3EcfRpJN1m3UZpjXVWa/tXATFTpUiMR44pisNuyBKrJzU7155Q&#10;Nni+UXjlPYO4ZQEfHmn2uAwNhZ8HFgQl+otFt5fVbDrH7cnJbP6hxFUK153ddYdZ3jncsUjJGH6K&#10;eeNGqh8P0UmVZSVyI5UzZ3zkbMx5IdMWXed56vmzWf8BAAD//wMAUEsDBBQABgAIAAAAIQD8lIGL&#10;2wAAAAcBAAAPAAAAZHJzL2Rvd25yZXYueG1sTI/BTsMwEETvSPyDtUjcqJPSFJrGqRCCA0fSHji6&#10;8ZJEtdeR7bTp37Oc4Dg7q5k31W52VpwxxMGTgnyRgUBqvRmoU3DYvz88g4hJk9HWEyq4YoRdfXtT&#10;6dL4C33iuUmd4BCKpVbQpzSWUsa2R6fjwo9I7H374HRiGTppgr5wuLNymWVr6fRA3NDrEV97bE/N&#10;5BSMaM1kV0321cq3QPn6Yy+vhVL3d/PLFkTCOf09wy8+o0PNTEc/kYnCKuAhia95AYLdzfKJhxwV&#10;rIrHDci6kv/56x8AAAD//wMAUEsBAi0AFAAGAAgAAAAhALaDOJL+AAAA4QEAABMAAAAAAAAAAAAA&#10;AAAAAAAAAFtDb250ZW50X1R5cGVzXS54bWxQSwECLQAUAAYACAAAACEAOP0h/9YAAACUAQAACwAA&#10;AAAAAAAAAAAAAAAvAQAAX3JlbHMvLnJlbHNQSwECLQAUAAYACAAAACEAOhi/ic8BAAB+AwAADgAA&#10;AAAAAAAAAAAAAAAuAgAAZHJzL2Uyb0RvYy54bWxQSwECLQAUAAYACAAAACEA/JSBi9sAAAAHAQAA&#10;DwAAAAAAAAAAAAAAAAApBAAAZHJzL2Rvd25yZXYueG1sUEsFBgAAAAAEAAQA8wAAADEFAAAAAA==&#10;" filled="f" stroked="f">
                <v:textbox inset="2.53958mm,1.2694mm,2.53958mm,1.2694mm">
                  <w:txbxContent>
                    <w:p w14:paraId="4429C0AE" w14:textId="77777777" w:rsidR="008E69FF" w:rsidRPr="00987B8F" w:rsidRDefault="008E69FF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Work Sans" w:hAnsi="Work Sans"/>
                          <w:b/>
                          <w:color w:val="3164C9"/>
                          <w:sz w:val="45"/>
                        </w:rPr>
                      </w:pPr>
                    </w:p>
                    <w:p w14:paraId="10D1AE07" w14:textId="77777777" w:rsidR="008E69FF" w:rsidRPr="00987B8F" w:rsidRDefault="008E69FF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Work Sans" w:hAnsi="Work Sans"/>
                          <w:b/>
                          <w:color w:val="3164C9"/>
                          <w:sz w:val="45"/>
                        </w:rPr>
                      </w:pPr>
                    </w:p>
                    <w:p w14:paraId="4E7E65A9" w14:textId="60F2DF68" w:rsidR="008E69FF" w:rsidRPr="00470856" w:rsidRDefault="008E69FF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Work Sans" w:hAnsi="Work Sans"/>
                          <w:b/>
                          <w:color w:val="3164C9"/>
                          <w:sz w:val="45"/>
                        </w:rPr>
                      </w:pPr>
                      <w:r w:rsidRPr="00470856">
                        <w:rPr>
                          <w:rFonts w:ascii="Work Sans" w:hAnsi="Work Sans"/>
                          <w:b/>
                          <w:color w:val="3164C9"/>
                          <w:sz w:val="45"/>
                        </w:rPr>
                        <w:t>EJECUCIÓN</w:t>
                      </w:r>
                      <w:r>
                        <w:t xml:space="preserve"> </w:t>
                      </w:r>
                      <w:r w:rsidRPr="00470856">
                        <w:rPr>
                          <w:rFonts w:ascii="Work Sans" w:hAnsi="Work Sans"/>
                          <w:b/>
                          <w:color w:val="3164C9"/>
                          <w:sz w:val="45"/>
                        </w:rPr>
                        <w:t>PLAN DE ACCIÓN ANUAL</w:t>
                      </w:r>
                    </w:p>
                    <w:p w14:paraId="6E6DC11B" w14:textId="06229B9D" w:rsidR="008E69FF" w:rsidRDefault="008F0970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31849B"/>
                          <w:sz w:val="45"/>
                        </w:rPr>
                      </w:pPr>
                      <w:r>
                        <w:rPr>
                          <w:rFonts w:ascii="Work Sans" w:hAnsi="Work Sans"/>
                          <w:b/>
                          <w:color w:val="3164C9"/>
                          <w:sz w:val="45"/>
                        </w:rPr>
                        <w:t>Septiembre</w:t>
                      </w:r>
                      <w:r w:rsidR="007B56ED">
                        <w:rPr>
                          <w:rFonts w:ascii="Work Sans" w:hAnsi="Work Sans"/>
                          <w:b/>
                          <w:color w:val="3164C9"/>
                          <w:sz w:val="45"/>
                        </w:rPr>
                        <w:t xml:space="preserve"> 2022</w:t>
                      </w:r>
                    </w:p>
                    <w:p w14:paraId="03961BD4" w14:textId="77777777" w:rsidR="008E69FF" w:rsidRDefault="008E69F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F83313" w14:textId="77777777" w:rsidR="002E36BC" w:rsidRDefault="002E36BC">
      <w:pPr>
        <w:jc w:val="center"/>
      </w:pPr>
    </w:p>
    <w:p w14:paraId="68CC3E62" w14:textId="77777777" w:rsidR="002E36BC" w:rsidRDefault="002E36BC">
      <w:pPr>
        <w:jc w:val="center"/>
      </w:pPr>
    </w:p>
    <w:p w14:paraId="7E8237AC" w14:textId="77777777" w:rsidR="002E36BC" w:rsidRDefault="002E36BC">
      <w:pPr>
        <w:jc w:val="center"/>
      </w:pPr>
    </w:p>
    <w:p w14:paraId="649ECE46" w14:textId="77777777" w:rsidR="002E36BC" w:rsidRDefault="002E36BC"/>
    <w:p w14:paraId="3B5C38F5" w14:textId="77777777" w:rsidR="002E36BC" w:rsidRDefault="002E36BC"/>
    <w:p w14:paraId="5C01ED90" w14:textId="77777777" w:rsidR="002E36BC" w:rsidRDefault="002E36BC"/>
    <w:p w14:paraId="51038FFE" w14:textId="13356A72" w:rsidR="002E36BC" w:rsidRDefault="002E36BC"/>
    <w:p w14:paraId="5E199C3A" w14:textId="77777777" w:rsidR="002E36BC" w:rsidRDefault="002E36BC"/>
    <w:p w14:paraId="178B4EE4" w14:textId="0C5DE34F" w:rsidR="002E36BC" w:rsidRDefault="003A3EDC">
      <w:r>
        <w:rPr>
          <w:noProof/>
          <w:lang w:val="es-CO"/>
        </w:rPr>
        <w:drawing>
          <wp:inline distT="0" distB="0" distL="0" distR="0" wp14:anchorId="08E60C45" wp14:editId="06232FB6">
            <wp:extent cx="5400040" cy="2558267"/>
            <wp:effectExtent l="0" t="0" r="0" b="0"/>
            <wp:docPr id="9" name="Imagen 9" descr="Interfaz de usuario gráfica, Aplicación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, Aplicación, Sitio web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58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E30EE" w14:textId="77777777" w:rsidR="002E36BC" w:rsidRDefault="002E36BC"/>
    <w:p w14:paraId="7F0100A5" w14:textId="77777777" w:rsidR="003A3EDC" w:rsidRDefault="003A3EDC" w:rsidP="003A3EDC">
      <w:pPr>
        <w:spacing w:after="0" w:line="240" w:lineRule="auto"/>
        <w:jc w:val="center"/>
        <w:textDirection w:val="btLr"/>
        <w:rPr>
          <w:rFonts w:ascii="Work Sans" w:hAnsi="Work Sans"/>
          <w:b/>
          <w:color w:val="0C9069"/>
          <w:sz w:val="32"/>
          <w:szCs w:val="32"/>
        </w:rPr>
      </w:pPr>
    </w:p>
    <w:p w14:paraId="6482C4C8" w14:textId="77777777" w:rsidR="003A3EDC" w:rsidRDefault="003A3EDC" w:rsidP="003A3EDC">
      <w:pPr>
        <w:spacing w:after="0" w:line="240" w:lineRule="auto"/>
        <w:jc w:val="center"/>
        <w:textDirection w:val="btLr"/>
        <w:rPr>
          <w:rFonts w:ascii="Work Sans" w:hAnsi="Work Sans"/>
          <w:b/>
          <w:color w:val="0C9069"/>
          <w:sz w:val="32"/>
          <w:szCs w:val="32"/>
        </w:rPr>
      </w:pPr>
    </w:p>
    <w:p w14:paraId="556E77BF" w14:textId="77777777" w:rsidR="003A3EDC" w:rsidRPr="00C97AF4" w:rsidRDefault="003A3EDC" w:rsidP="003A3EDC">
      <w:pPr>
        <w:spacing w:after="0" w:line="240" w:lineRule="auto"/>
        <w:jc w:val="center"/>
        <w:textDirection w:val="btLr"/>
        <w:rPr>
          <w:rFonts w:ascii="Work Sans" w:hAnsi="Work Sans"/>
          <w:b/>
          <w:color w:val="0C9069"/>
          <w:sz w:val="32"/>
          <w:szCs w:val="32"/>
        </w:rPr>
      </w:pPr>
      <w:r w:rsidRPr="00C97AF4">
        <w:rPr>
          <w:rFonts w:ascii="Work Sans" w:hAnsi="Work Sans"/>
          <w:b/>
          <w:color w:val="0C9069"/>
          <w:sz w:val="32"/>
          <w:szCs w:val="32"/>
        </w:rPr>
        <w:t>Oficina de Planeación y Gestión Internacional</w:t>
      </w:r>
    </w:p>
    <w:p w14:paraId="76880BD3" w14:textId="77777777" w:rsidR="002E36BC" w:rsidRDefault="002E36BC"/>
    <w:p w14:paraId="03863D93" w14:textId="77777777" w:rsidR="003A3EDC" w:rsidRDefault="003A3EDC" w:rsidP="003A3EDC">
      <w:pPr>
        <w:rPr>
          <w:rFonts w:ascii="Work Sans" w:eastAsia="Work Sans" w:hAnsi="Work Sans" w:cs="Work Sans"/>
          <w:b/>
          <w:color w:val="808080" w:themeColor="background1" w:themeShade="80"/>
          <w:sz w:val="28"/>
        </w:rPr>
      </w:pPr>
    </w:p>
    <w:p w14:paraId="4FF4D14C" w14:textId="77777777" w:rsidR="003A3EDC" w:rsidRDefault="003A3EDC" w:rsidP="003A3EDC">
      <w:pPr>
        <w:rPr>
          <w:rFonts w:ascii="Work Sans" w:eastAsia="Work Sans" w:hAnsi="Work Sans" w:cs="Work Sans"/>
          <w:b/>
          <w:color w:val="808080" w:themeColor="background1" w:themeShade="80"/>
          <w:sz w:val="28"/>
        </w:rPr>
      </w:pPr>
    </w:p>
    <w:p w14:paraId="2AFA254F" w14:textId="78519BE5" w:rsidR="009E6CA2" w:rsidRDefault="00AB1EF7" w:rsidP="00B16B1B">
      <w:pPr>
        <w:ind w:left="720" w:firstLine="720"/>
        <w:rPr>
          <w:rFonts w:ascii="Work Sans" w:hAnsi="Work Sans"/>
          <w:b/>
          <w:color w:val="0C9069"/>
          <w:sz w:val="28"/>
          <w:szCs w:val="28"/>
        </w:rPr>
      </w:pPr>
      <w:r>
        <w:rPr>
          <w:noProof/>
          <w:lang w:val="es-CO"/>
        </w:rPr>
        <w:lastRenderedPageBreak/>
        <w:drawing>
          <wp:anchor distT="0" distB="0" distL="114300" distR="114300" simplePos="0" relativeHeight="251664384" behindDoc="0" locked="0" layoutInCell="1" hidden="0" allowOverlap="1" wp14:anchorId="3351245E" wp14:editId="4AECF36E">
            <wp:simplePos x="0" y="0"/>
            <wp:positionH relativeFrom="column">
              <wp:posOffset>6757035</wp:posOffset>
            </wp:positionH>
            <wp:positionV relativeFrom="paragraph">
              <wp:posOffset>-8059418</wp:posOffset>
            </wp:positionV>
            <wp:extent cx="2647396" cy="1764930"/>
            <wp:effectExtent l="0" t="0" r="0" b="0"/>
            <wp:wrapNone/>
            <wp:docPr id="13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396" cy="1764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eading=h.gjdgxs" w:colFirst="0" w:colLast="0"/>
      <w:bookmarkEnd w:id="0"/>
      <w:r w:rsidR="002A2730" w:rsidRPr="00752EE2">
        <w:rPr>
          <w:rFonts w:ascii="Work Sans" w:hAnsi="Work Sans"/>
          <w:b/>
          <w:color w:val="0C9069"/>
          <w:sz w:val="28"/>
          <w:szCs w:val="28"/>
        </w:rPr>
        <w:t>INFORME D</w:t>
      </w:r>
      <w:r w:rsidR="003B645D">
        <w:rPr>
          <w:rFonts w:ascii="Work Sans" w:hAnsi="Work Sans"/>
          <w:b/>
          <w:color w:val="0C9069"/>
          <w:sz w:val="28"/>
          <w:szCs w:val="28"/>
        </w:rPr>
        <w:t xml:space="preserve">E EJECUCIÓN - PLAN DE ACIÓN </w:t>
      </w:r>
    </w:p>
    <w:p w14:paraId="1626303C" w14:textId="2858FB39" w:rsidR="002A2730" w:rsidRPr="00752EE2" w:rsidRDefault="00E00B83" w:rsidP="002A2730">
      <w:pPr>
        <w:pStyle w:val="Textoindependiente"/>
        <w:jc w:val="center"/>
        <w:rPr>
          <w:rFonts w:ascii="Work Sans" w:hAnsi="Work Sans"/>
          <w:b/>
          <w:color w:val="0C9069"/>
          <w:sz w:val="28"/>
          <w:szCs w:val="28"/>
        </w:rPr>
      </w:pPr>
      <w:bookmarkStart w:id="1" w:name="_GoBack"/>
      <w:bookmarkEnd w:id="1"/>
      <w:r>
        <w:rPr>
          <w:rFonts w:ascii="Work Sans" w:hAnsi="Work Sans"/>
          <w:b/>
          <w:color w:val="0C9069"/>
          <w:sz w:val="28"/>
          <w:szCs w:val="28"/>
        </w:rPr>
        <w:t>Septiembre</w:t>
      </w:r>
      <w:r w:rsidR="009E6CA2">
        <w:rPr>
          <w:rFonts w:ascii="Work Sans" w:hAnsi="Work Sans"/>
          <w:b/>
          <w:color w:val="0C9069"/>
          <w:sz w:val="28"/>
          <w:szCs w:val="28"/>
        </w:rPr>
        <w:t xml:space="preserve"> </w:t>
      </w:r>
      <w:r w:rsidR="003B645D">
        <w:rPr>
          <w:rFonts w:ascii="Work Sans" w:hAnsi="Work Sans"/>
          <w:b/>
          <w:color w:val="0C9069"/>
          <w:sz w:val="28"/>
          <w:szCs w:val="28"/>
        </w:rPr>
        <w:t>202</w:t>
      </w:r>
      <w:r w:rsidR="009E6CA2">
        <w:rPr>
          <w:rFonts w:ascii="Work Sans" w:hAnsi="Work Sans"/>
          <w:b/>
          <w:color w:val="0C9069"/>
          <w:sz w:val="28"/>
          <w:szCs w:val="28"/>
        </w:rPr>
        <w:t>2</w:t>
      </w:r>
    </w:p>
    <w:p w14:paraId="5215252B" w14:textId="77777777" w:rsidR="00752EE2" w:rsidRDefault="00752EE2" w:rsidP="002A2730">
      <w:pPr>
        <w:pStyle w:val="Ttulo1"/>
        <w:keepLines w:val="0"/>
        <w:spacing w:before="0" w:line="240" w:lineRule="auto"/>
        <w:ind w:left="567" w:hanging="567"/>
        <w:jc w:val="both"/>
        <w:rPr>
          <w:rFonts w:ascii="Work Sans" w:hAnsi="Work Sans"/>
          <w:color w:val="3164C9"/>
          <w:sz w:val="32"/>
          <w:szCs w:val="32"/>
        </w:rPr>
      </w:pPr>
    </w:p>
    <w:p w14:paraId="103FC561" w14:textId="77777777" w:rsidR="002A2730" w:rsidRDefault="002A2730" w:rsidP="002A2730">
      <w:pPr>
        <w:pStyle w:val="Ttulo1"/>
        <w:keepLines w:val="0"/>
        <w:spacing w:before="0" w:line="240" w:lineRule="auto"/>
        <w:ind w:left="567" w:hanging="567"/>
        <w:jc w:val="both"/>
        <w:rPr>
          <w:rFonts w:ascii="Work Sans" w:hAnsi="Work Sans"/>
          <w:sz w:val="24"/>
          <w:szCs w:val="24"/>
        </w:rPr>
      </w:pPr>
      <w:r w:rsidRPr="00597DDD">
        <w:rPr>
          <w:rFonts w:ascii="Work Sans" w:hAnsi="Work Sans"/>
          <w:sz w:val="24"/>
          <w:szCs w:val="24"/>
        </w:rPr>
        <w:t>NORMATIVIDAD</w:t>
      </w:r>
    </w:p>
    <w:p w14:paraId="7983DD25" w14:textId="15CD9AFF" w:rsidR="002A2730" w:rsidRDefault="002A2730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  <w:r w:rsidRPr="004B1C5D">
        <w:rPr>
          <w:rFonts w:ascii="Work Sans" w:hAnsi="Work Sans" w:cs="Arial"/>
          <w:color w:val="000000" w:themeColor="text1"/>
        </w:rPr>
        <w:t xml:space="preserve">En cumplimiento de lo establecido en </w:t>
      </w:r>
      <w:r>
        <w:rPr>
          <w:rFonts w:ascii="Work Sans" w:hAnsi="Work Sans" w:cs="Arial"/>
          <w:color w:val="000000" w:themeColor="text1"/>
        </w:rPr>
        <w:t>Ley 1474 de 2011, articulo 74</w:t>
      </w:r>
      <w:r w:rsidRPr="004B1C5D">
        <w:rPr>
          <w:rFonts w:ascii="Work Sans" w:hAnsi="Work Sans" w:cs="Arial"/>
          <w:color w:val="000000" w:themeColor="text1"/>
        </w:rPr>
        <w:t xml:space="preserve"> y </w:t>
      </w:r>
      <w:r>
        <w:rPr>
          <w:rFonts w:ascii="Work Sans" w:hAnsi="Work Sans" w:cs="Arial"/>
          <w:color w:val="000000" w:themeColor="text1"/>
        </w:rPr>
        <w:t>de acuerdo con</w:t>
      </w:r>
      <w:r w:rsidRPr="004B1C5D">
        <w:rPr>
          <w:rFonts w:ascii="Work Sans" w:hAnsi="Work Sans" w:cs="Arial"/>
          <w:color w:val="000000" w:themeColor="text1"/>
        </w:rPr>
        <w:t xml:space="preserve"> </w:t>
      </w:r>
      <w:r>
        <w:rPr>
          <w:rFonts w:ascii="Work Sans" w:hAnsi="Work Sans" w:cs="Arial"/>
          <w:color w:val="000000" w:themeColor="text1"/>
        </w:rPr>
        <w:t xml:space="preserve">los lineamientos de la </w:t>
      </w:r>
      <w:r w:rsidRPr="004B1C5D">
        <w:rPr>
          <w:rFonts w:ascii="Work Sans" w:hAnsi="Work Sans" w:cs="Arial"/>
          <w:color w:val="000000" w:themeColor="text1"/>
        </w:rPr>
        <w:t xml:space="preserve">política de transparencia de la entidad, en este informe se presenta </w:t>
      </w:r>
      <w:r>
        <w:rPr>
          <w:rFonts w:ascii="Work Sans" w:hAnsi="Work Sans" w:cs="Arial"/>
          <w:color w:val="000000" w:themeColor="text1"/>
        </w:rPr>
        <w:t>el balance de las actividades realizadas por las dependencias del Ministerio de Minas y Energía, a partir de</w:t>
      </w:r>
      <w:r w:rsidRPr="0003664B">
        <w:rPr>
          <w:rFonts w:ascii="Work Sans" w:hAnsi="Work Sans" w:cs="Arial"/>
          <w:color w:val="000000" w:themeColor="text1"/>
        </w:rPr>
        <w:t xml:space="preserve"> la ejecución </w:t>
      </w:r>
      <w:r>
        <w:rPr>
          <w:rFonts w:ascii="Work Sans" w:hAnsi="Work Sans" w:cs="Arial"/>
          <w:color w:val="000000" w:themeColor="text1"/>
        </w:rPr>
        <w:t>de</w:t>
      </w:r>
      <w:r w:rsidRPr="0003664B">
        <w:rPr>
          <w:rFonts w:ascii="Work Sans" w:hAnsi="Work Sans" w:cs="Arial"/>
          <w:color w:val="000000" w:themeColor="text1"/>
        </w:rPr>
        <w:t>l Plan de Acción 20</w:t>
      </w:r>
      <w:r w:rsidR="00192D6A">
        <w:rPr>
          <w:rFonts w:ascii="Work Sans" w:hAnsi="Work Sans" w:cs="Arial"/>
          <w:color w:val="000000" w:themeColor="text1"/>
        </w:rPr>
        <w:t>22</w:t>
      </w:r>
      <w:r>
        <w:rPr>
          <w:rFonts w:ascii="Work Sans" w:hAnsi="Work Sans" w:cs="Arial"/>
          <w:color w:val="000000" w:themeColor="text1"/>
        </w:rPr>
        <w:t xml:space="preserve"> y d</w:t>
      </w:r>
      <w:r w:rsidRPr="0003664B">
        <w:rPr>
          <w:rFonts w:ascii="Work Sans" w:hAnsi="Work Sans" w:cs="Arial"/>
          <w:color w:val="000000" w:themeColor="text1"/>
        </w:rPr>
        <w:t>el cumplimiento de los objetivos formulados</w:t>
      </w:r>
      <w:r>
        <w:rPr>
          <w:rFonts w:ascii="Work Sans" w:hAnsi="Work Sans" w:cs="Arial"/>
          <w:color w:val="000000" w:themeColor="text1"/>
        </w:rPr>
        <w:t>.</w:t>
      </w:r>
      <w:r w:rsidRPr="0003664B">
        <w:rPr>
          <w:rFonts w:ascii="Work Sans" w:hAnsi="Work Sans" w:cs="Arial"/>
          <w:color w:val="000000" w:themeColor="text1"/>
        </w:rPr>
        <w:t xml:space="preserve"> </w:t>
      </w:r>
    </w:p>
    <w:p w14:paraId="50A4153A" w14:textId="4EF89E41" w:rsidR="00A963FF" w:rsidRPr="0003664B" w:rsidRDefault="00A963FF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58636208" w14:textId="77777777" w:rsidR="002A2730" w:rsidRPr="00597DDD" w:rsidRDefault="002A2730" w:rsidP="002A2730">
      <w:pPr>
        <w:pStyle w:val="Ttulo1"/>
        <w:keepLines w:val="0"/>
        <w:spacing w:before="0" w:line="240" w:lineRule="auto"/>
        <w:ind w:left="567" w:hanging="567"/>
        <w:jc w:val="both"/>
        <w:rPr>
          <w:rFonts w:ascii="Work Sans" w:hAnsi="Work Sans"/>
          <w:sz w:val="24"/>
          <w:szCs w:val="24"/>
        </w:rPr>
      </w:pPr>
      <w:r w:rsidRPr="00597DDD">
        <w:rPr>
          <w:rFonts w:ascii="Work Sans" w:hAnsi="Work Sans"/>
          <w:sz w:val="24"/>
          <w:szCs w:val="24"/>
        </w:rPr>
        <w:t>GENERALIDADES DEL PROCESO</w:t>
      </w:r>
    </w:p>
    <w:p w14:paraId="6F5A97A7" w14:textId="6957B912" w:rsidR="00F22B57" w:rsidRDefault="002A2730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  <w:r>
        <w:rPr>
          <w:rFonts w:ascii="Work Sans" w:hAnsi="Work Sans" w:cs="Arial"/>
          <w:color w:val="000000" w:themeColor="text1"/>
        </w:rPr>
        <w:t xml:space="preserve">La Oficina de Planeación y Gestión Internacional </w:t>
      </w:r>
      <w:r w:rsidR="00F22B57">
        <w:rPr>
          <w:rFonts w:ascii="Work Sans" w:hAnsi="Work Sans" w:cs="Arial"/>
          <w:color w:val="000000" w:themeColor="text1"/>
        </w:rPr>
        <w:t>durante el último trimestre de 202</w:t>
      </w:r>
      <w:r w:rsidR="00497B9E">
        <w:rPr>
          <w:rFonts w:ascii="Work Sans" w:hAnsi="Work Sans" w:cs="Arial"/>
          <w:color w:val="000000" w:themeColor="text1"/>
        </w:rPr>
        <w:t>1</w:t>
      </w:r>
      <w:r w:rsidR="00F22B57">
        <w:rPr>
          <w:rFonts w:ascii="Work Sans" w:hAnsi="Work Sans" w:cs="Arial"/>
          <w:color w:val="000000" w:themeColor="text1"/>
        </w:rPr>
        <w:t xml:space="preserve"> inicio las actividades para la for</w:t>
      </w:r>
      <w:r w:rsidR="00497B9E">
        <w:rPr>
          <w:rFonts w:ascii="Work Sans" w:hAnsi="Work Sans" w:cs="Arial"/>
          <w:color w:val="000000" w:themeColor="text1"/>
        </w:rPr>
        <w:t>mulación del Plan de Acción 2022</w:t>
      </w:r>
      <w:r w:rsidR="00F22B57">
        <w:rPr>
          <w:rFonts w:ascii="Work Sans" w:hAnsi="Work Sans" w:cs="Arial"/>
          <w:color w:val="000000" w:themeColor="text1"/>
        </w:rPr>
        <w:t xml:space="preserve">, se realizaron inducción a todas las áreas en donde se informaron los lineamientos generales para su construcción, adicionalmente se socializo el </w:t>
      </w:r>
      <w:r w:rsidR="00BB6739">
        <w:rPr>
          <w:rFonts w:ascii="Work Sans" w:hAnsi="Work Sans" w:cs="Arial"/>
          <w:color w:val="000000" w:themeColor="text1"/>
        </w:rPr>
        <w:t xml:space="preserve">instrumento </w:t>
      </w:r>
      <w:r w:rsidR="00F22B57">
        <w:rPr>
          <w:rFonts w:ascii="Work Sans" w:hAnsi="Work Sans" w:cs="Arial"/>
          <w:color w:val="000000" w:themeColor="text1"/>
        </w:rPr>
        <w:t>para la recolección de información.</w:t>
      </w:r>
    </w:p>
    <w:p w14:paraId="6D5EF68D" w14:textId="77777777" w:rsidR="00F22B57" w:rsidRDefault="00F22B57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7A135A2F" w14:textId="5221BCE3" w:rsidR="00BB6739" w:rsidRPr="0003664B" w:rsidRDefault="00FC700F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  <w:r>
        <w:rPr>
          <w:rFonts w:ascii="Work Sans" w:hAnsi="Work Sans" w:cs="Arial"/>
          <w:color w:val="000000" w:themeColor="text1"/>
        </w:rPr>
        <w:t>Igualmente,</w:t>
      </w:r>
      <w:r w:rsidR="00F22B57">
        <w:rPr>
          <w:rFonts w:ascii="Work Sans" w:hAnsi="Work Sans" w:cs="Arial"/>
          <w:color w:val="000000" w:themeColor="text1"/>
        </w:rPr>
        <w:t xml:space="preserve"> la oficina de Planeación se encarga del </w:t>
      </w:r>
      <w:r w:rsidR="002A2730" w:rsidRPr="0003664B">
        <w:rPr>
          <w:rFonts w:ascii="Work Sans" w:hAnsi="Work Sans" w:cs="Arial"/>
          <w:color w:val="000000" w:themeColor="text1"/>
        </w:rPr>
        <w:t xml:space="preserve">seguimiento, medición, análisis y evaluación </w:t>
      </w:r>
      <w:r w:rsidR="002A2730">
        <w:rPr>
          <w:rFonts w:ascii="Work Sans" w:hAnsi="Work Sans" w:cs="Arial"/>
          <w:color w:val="000000" w:themeColor="text1"/>
        </w:rPr>
        <w:t>de</w:t>
      </w:r>
      <w:r w:rsidR="002A2730" w:rsidRPr="0003664B">
        <w:rPr>
          <w:rFonts w:ascii="Work Sans" w:hAnsi="Work Sans" w:cs="Arial"/>
          <w:color w:val="000000" w:themeColor="text1"/>
        </w:rPr>
        <w:t xml:space="preserve">l cumplimiento de los objetivos definidos en el Plan de Acción, </w:t>
      </w:r>
      <w:r w:rsidR="002A2730">
        <w:rPr>
          <w:rFonts w:ascii="Work Sans" w:hAnsi="Work Sans" w:cs="Arial"/>
          <w:color w:val="000000" w:themeColor="text1"/>
        </w:rPr>
        <w:t xml:space="preserve">teniendo en cuenta </w:t>
      </w:r>
      <w:r w:rsidR="002A2730" w:rsidRPr="0003664B">
        <w:rPr>
          <w:rFonts w:ascii="Work Sans" w:hAnsi="Work Sans" w:cs="Arial"/>
          <w:color w:val="000000" w:themeColor="text1"/>
        </w:rPr>
        <w:t xml:space="preserve">las gestiones </w:t>
      </w:r>
      <w:r w:rsidR="002A2730">
        <w:rPr>
          <w:rFonts w:ascii="Work Sans" w:hAnsi="Work Sans" w:cs="Arial"/>
          <w:color w:val="000000" w:themeColor="text1"/>
        </w:rPr>
        <w:t xml:space="preserve">realizadas </w:t>
      </w:r>
      <w:r w:rsidR="002A2730" w:rsidRPr="0003664B">
        <w:rPr>
          <w:rFonts w:ascii="Work Sans" w:hAnsi="Work Sans" w:cs="Arial"/>
          <w:color w:val="000000" w:themeColor="text1"/>
        </w:rPr>
        <w:t xml:space="preserve">por las áreas organizacionales </w:t>
      </w:r>
      <w:r w:rsidR="002A2730">
        <w:rPr>
          <w:rFonts w:ascii="Work Sans" w:hAnsi="Work Sans" w:cs="Arial"/>
          <w:color w:val="000000" w:themeColor="text1"/>
        </w:rPr>
        <w:t>para su</w:t>
      </w:r>
      <w:r w:rsidR="002A2730" w:rsidRPr="0003664B">
        <w:rPr>
          <w:rFonts w:ascii="Work Sans" w:hAnsi="Work Sans" w:cs="Arial"/>
          <w:color w:val="000000" w:themeColor="text1"/>
        </w:rPr>
        <w:t xml:space="preserve"> cumplimiento.</w:t>
      </w:r>
      <w:r w:rsidR="00AA38F0">
        <w:rPr>
          <w:rFonts w:ascii="Work Sans" w:hAnsi="Work Sans" w:cs="Arial"/>
          <w:color w:val="000000" w:themeColor="text1"/>
        </w:rPr>
        <w:t xml:space="preserve"> Adicionalmente, e</w:t>
      </w:r>
      <w:r w:rsidR="00BB6739">
        <w:rPr>
          <w:rFonts w:ascii="Work Sans" w:hAnsi="Work Sans" w:cs="Arial"/>
          <w:color w:val="000000" w:themeColor="text1"/>
        </w:rPr>
        <w:t>l Plan de Acción articula sus indicadores con la Planeación Estratégica, (Línea Estratégica, Objetivo Estratégico, Estrategia y Línea de Acción) y Objetivos de Calidad</w:t>
      </w:r>
      <w:r w:rsidR="00AA38F0">
        <w:rPr>
          <w:rFonts w:ascii="Work Sans" w:hAnsi="Work Sans" w:cs="Arial"/>
          <w:color w:val="000000" w:themeColor="text1"/>
        </w:rPr>
        <w:t>.</w:t>
      </w:r>
    </w:p>
    <w:p w14:paraId="331FA23A" w14:textId="2BA310D4" w:rsidR="002A2730" w:rsidRPr="0003664B" w:rsidRDefault="00BB6739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  <w:r>
        <w:rPr>
          <w:rFonts w:ascii="Work Sans" w:hAnsi="Work Sans" w:cs="Arial"/>
          <w:color w:val="000000" w:themeColor="text1"/>
        </w:rPr>
        <w:t xml:space="preserve">  </w:t>
      </w:r>
    </w:p>
    <w:p w14:paraId="5F9F4EE1" w14:textId="6ACB5AB9" w:rsidR="002A2730" w:rsidRDefault="002A2730" w:rsidP="002A2730">
      <w:pPr>
        <w:spacing w:after="0" w:line="240" w:lineRule="auto"/>
        <w:jc w:val="both"/>
        <w:rPr>
          <w:rFonts w:ascii="Work Sans" w:eastAsia="Work Sans" w:hAnsi="Work Sans" w:cs="Work Sans"/>
          <w:color w:val="808080" w:themeColor="background1" w:themeShade="80"/>
        </w:rPr>
      </w:pPr>
      <w:r>
        <w:rPr>
          <w:rFonts w:ascii="Work Sans" w:hAnsi="Work Sans" w:cs="Arial"/>
          <w:color w:val="000000" w:themeColor="text1"/>
        </w:rPr>
        <w:t>Para cumplir con lo an</w:t>
      </w:r>
      <w:r w:rsidR="003B645D">
        <w:rPr>
          <w:rFonts w:ascii="Work Sans" w:hAnsi="Work Sans" w:cs="Arial"/>
          <w:color w:val="000000" w:themeColor="text1"/>
        </w:rPr>
        <w:t xml:space="preserve">terior, </w:t>
      </w:r>
      <w:r w:rsidR="00F22B57">
        <w:rPr>
          <w:rFonts w:ascii="Work Sans" w:hAnsi="Work Sans" w:cs="Arial"/>
          <w:color w:val="000000" w:themeColor="text1"/>
        </w:rPr>
        <w:t>mes a mes se han enviado</w:t>
      </w:r>
      <w:r w:rsidRPr="0003664B">
        <w:rPr>
          <w:rFonts w:ascii="Work Sans" w:hAnsi="Work Sans" w:cs="Arial"/>
          <w:color w:val="000000" w:themeColor="text1"/>
        </w:rPr>
        <w:t xml:space="preserve"> comunicaciones </w:t>
      </w:r>
      <w:r w:rsidR="00AA38F0">
        <w:rPr>
          <w:rFonts w:ascii="Work Sans" w:hAnsi="Work Sans" w:cs="Arial"/>
          <w:color w:val="000000" w:themeColor="text1"/>
        </w:rPr>
        <w:t>vía</w:t>
      </w:r>
      <w:r w:rsidR="00F22B57">
        <w:rPr>
          <w:rFonts w:ascii="Work Sans" w:hAnsi="Work Sans" w:cs="Arial"/>
          <w:color w:val="000000" w:themeColor="text1"/>
        </w:rPr>
        <w:t xml:space="preserve"> correo electrónico </w:t>
      </w:r>
      <w:r>
        <w:rPr>
          <w:rFonts w:ascii="Work Sans" w:hAnsi="Work Sans" w:cs="Arial"/>
          <w:color w:val="000000" w:themeColor="text1"/>
        </w:rPr>
        <w:t xml:space="preserve">a las áreas del Ministerio </w:t>
      </w:r>
      <w:r w:rsidR="005A7BF8">
        <w:rPr>
          <w:rFonts w:ascii="Work Sans" w:hAnsi="Work Sans" w:cs="Arial"/>
          <w:color w:val="000000" w:themeColor="text1"/>
        </w:rPr>
        <w:t>para el avance mensual</w:t>
      </w:r>
      <w:r w:rsidRPr="0003664B">
        <w:rPr>
          <w:rFonts w:ascii="Work Sans" w:hAnsi="Work Sans" w:cs="Arial"/>
          <w:color w:val="000000" w:themeColor="text1"/>
        </w:rPr>
        <w:t xml:space="preserve"> </w:t>
      </w:r>
      <w:r>
        <w:rPr>
          <w:rFonts w:ascii="Work Sans" w:hAnsi="Work Sans" w:cs="Arial"/>
          <w:color w:val="000000" w:themeColor="text1"/>
        </w:rPr>
        <w:t xml:space="preserve">de las acciones </w:t>
      </w:r>
      <w:r w:rsidR="00E526CA">
        <w:rPr>
          <w:rFonts w:ascii="Work Sans" w:hAnsi="Work Sans" w:cs="Arial"/>
          <w:color w:val="000000" w:themeColor="text1"/>
        </w:rPr>
        <w:t>previstas en el Plan de Acción</w:t>
      </w:r>
      <w:r w:rsidRPr="0003664B">
        <w:rPr>
          <w:rFonts w:ascii="Work Sans" w:hAnsi="Work Sans" w:cs="Arial"/>
          <w:color w:val="000000" w:themeColor="text1"/>
        </w:rPr>
        <w:t>.</w:t>
      </w:r>
      <w:r>
        <w:rPr>
          <w:rFonts w:ascii="Work Sans" w:hAnsi="Work Sans" w:cs="Arial"/>
          <w:color w:val="000000" w:themeColor="text1"/>
        </w:rPr>
        <w:t xml:space="preserve"> Cabe anotar que p</w:t>
      </w:r>
      <w:r w:rsidRPr="0003664B">
        <w:rPr>
          <w:rFonts w:ascii="Work Sans" w:hAnsi="Work Sans" w:cs="Arial"/>
          <w:color w:val="000000" w:themeColor="text1"/>
        </w:rPr>
        <w:t xml:space="preserve">ara determinar el estado del </w:t>
      </w:r>
      <w:r w:rsidR="00C6679B">
        <w:rPr>
          <w:rFonts w:ascii="Work Sans" w:hAnsi="Work Sans" w:cs="Arial"/>
          <w:color w:val="000000" w:themeColor="text1"/>
        </w:rPr>
        <w:t>i</w:t>
      </w:r>
      <w:r w:rsidRPr="0003664B">
        <w:rPr>
          <w:rFonts w:ascii="Work Sans" w:hAnsi="Work Sans" w:cs="Arial"/>
          <w:color w:val="000000" w:themeColor="text1"/>
        </w:rPr>
        <w:t xml:space="preserve">ndicador </w:t>
      </w:r>
      <w:r>
        <w:rPr>
          <w:rFonts w:ascii="Work Sans" w:hAnsi="Work Sans" w:cs="Arial"/>
          <w:color w:val="000000" w:themeColor="text1"/>
        </w:rPr>
        <w:t>asociado a las acciones se aplicaron</w:t>
      </w:r>
      <w:r w:rsidRPr="0003664B">
        <w:rPr>
          <w:rFonts w:ascii="Work Sans" w:hAnsi="Work Sans" w:cs="Arial"/>
          <w:color w:val="000000" w:themeColor="text1"/>
        </w:rPr>
        <w:t xml:space="preserve"> los parámetros de medición</w:t>
      </w:r>
      <w:r>
        <w:rPr>
          <w:rFonts w:ascii="Work Sans" w:hAnsi="Work Sans" w:cs="Arial"/>
          <w:color w:val="000000" w:themeColor="text1"/>
        </w:rPr>
        <w:t xml:space="preserve"> establecidos (Tabla 1), al igual que para</w:t>
      </w:r>
      <w:r w:rsidRPr="0003664B">
        <w:rPr>
          <w:rFonts w:ascii="Work Sans" w:hAnsi="Work Sans" w:cs="Arial"/>
          <w:color w:val="000000" w:themeColor="text1"/>
        </w:rPr>
        <w:t xml:space="preserve"> </w:t>
      </w:r>
      <w:r>
        <w:rPr>
          <w:rFonts w:ascii="Work Sans" w:hAnsi="Work Sans" w:cs="Arial"/>
          <w:color w:val="000000" w:themeColor="text1"/>
        </w:rPr>
        <w:t xml:space="preserve">establecer </w:t>
      </w:r>
      <w:r w:rsidRPr="0003664B">
        <w:rPr>
          <w:rFonts w:ascii="Work Sans" w:hAnsi="Work Sans" w:cs="Arial"/>
          <w:color w:val="000000" w:themeColor="text1"/>
        </w:rPr>
        <w:t>el nivel de ejecución</w:t>
      </w:r>
      <w:r>
        <w:rPr>
          <w:rFonts w:ascii="Work Sans" w:hAnsi="Work Sans" w:cs="Arial"/>
          <w:color w:val="000000" w:themeColor="text1"/>
        </w:rPr>
        <w:t xml:space="preserve"> (Tabla 2)</w:t>
      </w:r>
      <w:r w:rsidRPr="0003664B">
        <w:rPr>
          <w:rFonts w:ascii="Work Sans" w:hAnsi="Work Sans" w:cs="Arial"/>
          <w:color w:val="000000" w:themeColor="text1"/>
        </w:rPr>
        <w:t>.</w:t>
      </w:r>
      <w:r w:rsidR="00752EE2" w:rsidRPr="00752EE2">
        <w:rPr>
          <w:rFonts w:ascii="Work Sans" w:eastAsia="Work Sans" w:hAnsi="Work Sans" w:cs="Work Sans"/>
          <w:color w:val="808080" w:themeColor="background1" w:themeShade="80"/>
        </w:rPr>
        <w:t xml:space="preserve"> </w:t>
      </w:r>
    </w:p>
    <w:p w14:paraId="50121643" w14:textId="77777777" w:rsidR="005A7BF8" w:rsidRDefault="005A7BF8" w:rsidP="002A2730">
      <w:pPr>
        <w:spacing w:after="0" w:line="240" w:lineRule="auto"/>
        <w:jc w:val="both"/>
        <w:rPr>
          <w:rFonts w:ascii="Work Sans" w:eastAsia="Work Sans" w:hAnsi="Work Sans" w:cs="Work Sans"/>
          <w:color w:val="808080" w:themeColor="background1" w:themeShade="80"/>
        </w:rPr>
      </w:pPr>
    </w:p>
    <w:p w14:paraId="456FAE14" w14:textId="3E41415C" w:rsidR="005A7BF8" w:rsidRPr="00597DDD" w:rsidRDefault="005A7BF8" w:rsidP="002A2730">
      <w:pPr>
        <w:spacing w:after="0" w:line="240" w:lineRule="auto"/>
        <w:jc w:val="both"/>
        <w:rPr>
          <w:rFonts w:ascii="Work Sans" w:hAnsi="Work Sans"/>
          <w:b/>
          <w:sz w:val="24"/>
          <w:szCs w:val="24"/>
        </w:rPr>
      </w:pPr>
      <w:r w:rsidRPr="00597DDD">
        <w:rPr>
          <w:rFonts w:ascii="Work Sans" w:hAnsi="Work Sans"/>
          <w:b/>
          <w:sz w:val="24"/>
          <w:szCs w:val="24"/>
        </w:rPr>
        <w:t>M</w:t>
      </w:r>
      <w:r w:rsidR="000950EA" w:rsidRPr="00597DDD">
        <w:rPr>
          <w:rFonts w:ascii="Work Sans" w:hAnsi="Work Sans"/>
          <w:b/>
          <w:sz w:val="24"/>
          <w:szCs w:val="24"/>
        </w:rPr>
        <w:t>ETODOLIGÍA DE MEDICIÓN</w:t>
      </w:r>
    </w:p>
    <w:p w14:paraId="7DA1F656" w14:textId="77777777" w:rsidR="002A2730" w:rsidRPr="0003664B" w:rsidRDefault="002A2730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497430F6" w14:textId="77777777" w:rsidR="002A2730" w:rsidRPr="00752EE2" w:rsidRDefault="002A2730" w:rsidP="002A2730">
      <w:pPr>
        <w:spacing w:after="0" w:line="240" w:lineRule="auto"/>
        <w:jc w:val="center"/>
        <w:rPr>
          <w:rFonts w:ascii="Work Sans" w:eastAsia="Work Sans" w:hAnsi="Work Sans" w:cs="Work Sans"/>
          <w:color w:val="808080" w:themeColor="background1" w:themeShade="80"/>
        </w:rPr>
      </w:pPr>
      <w:r w:rsidRPr="00752EE2">
        <w:rPr>
          <w:rFonts w:ascii="Work Sans" w:eastAsia="Work Sans" w:hAnsi="Work Sans" w:cs="Work Sans"/>
          <w:color w:val="808080" w:themeColor="background1" w:themeShade="80"/>
        </w:rPr>
        <w:t>Tabla 1. Parámetro para el cumplimiento de acciones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4"/>
        <w:gridCol w:w="2853"/>
        <w:gridCol w:w="2837"/>
      </w:tblGrid>
      <w:tr w:rsidR="002A2730" w:rsidRPr="00827AF4" w14:paraId="7A479B7E" w14:textId="77777777" w:rsidTr="002A2730">
        <w:tc>
          <w:tcPr>
            <w:tcW w:w="3131" w:type="dxa"/>
          </w:tcPr>
          <w:p w14:paraId="0987209E" w14:textId="77777777" w:rsidR="002A2730" w:rsidRPr="00B86840" w:rsidRDefault="002A2730" w:rsidP="002A2730">
            <w:pPr>
              <w:jc w:val="center"/>
              <w:rPr>
                <w:rFonts w:ascii="Work Sans" w:hAnsi="Work Sans" w:cs="Arial"/>
                <w:b/>
                <w:color w:val="000000" w:themeColor="text1"/>
              </w:rPr>
            </w:pPr>
            <w:r w:rsidRPr="00B86840">
              <w:rPr>
                <w:rFonts w:ascii="Work Sans" w:hAnsi="Work Sans" w:cs="Arial"/>
                <w:b/>
                <w:color w:val="000000" w:themeColor="text1"/>
              </w:rPr>
              <w:t>Acción Ejecutada</w:t>
            </w:r>
          </w:p>
          <w:p w14:paraId="1FFAF94F" w14:textId="77777777" w:rsidR="002A2730" w:rsidRPr="00B86840" w:rsidRDefault="002A2730" w:rsidP="002A2730">
            <w:pPr>
              <w:jc w:val="center"/>
              <w:rPr>
                <w:rFonts w:ascii="Work Sans" w:hAnsi="Work Sans" w:cs="Arial"/>
                <w:b/>
                <w:color w:val="000000" w:themeColor="text1"/>
              </w:rPr>
            </w:pPr>
          </w:p>
        </w:tc>
        <w:tc>
          <w:tcPr>
            <w:tcW w:w="3131" w:type="dxa"/>
          </w:tcPr>
          <w:p w14:paraId="7A3B101B" w14:textId="77777777" w:rsidR="002A2730" w:rsidRPr="00B86840" w:rsidRDefault="002A2730" w:rsidP="002A2730">
            <w:pPr>
              <w:jc w:val="center"/>
              <w:rPr>
                <w:rFonts w:ascii="Work Sans" w:hAnsi="Work Sans" w:cs="Arial"/>
                <w:b/>
                <w:color w:val="000000" w:themeColor="text1"/>
              </w:rPr>
            </w:pPr>
            <w:r w:rsidRPr="00B86840">
              <w:rPr>
                <w:rFonts w:ascii="Work Sans" w:hAnsi="Work Sans" w:cs="Arial"/>
                <w:b/>
                <w:color w:val="000000" w:themeColor="text1"/>
              </w:rPr>
              <w:t>Acción Ejecutada Parcialmente</w:t>
            </w:r>
          </w:p>
        </w:tc>
        <w:tc>
          <w:tcPr>
            <w:tcW w:w="3132" w:type="dxa"/>
          </w:tcPr>
          <w:p w14:paraId="46E5D5CB" w14:textId="77777777" w:rsidR="002A2730" w:rsidRPr="00B86840" w:rsidRDefault="002A2730" w:rsidP="002A2730">
            <w:pPr>
              <w:jc w:val="center"/>
              <w:rPr>
                <w:rFonts w:ascii="Work Sans" w:hAnsi="Work Sans" w:cs="Arial"/>
                <w:b/>
                <w:color w:val="000000" w:themeColor="text1"/>
              </w:rPr>
            </w:pPr>
            <w:r w:rsidRPr="00B86840">
              <w:rPr>
                <w:rFonts w:ascii="Work Sans" w:hAnsi="Work Sans" w:cs="Arial"/>
                <w:b/>
                <w:color w:val="000000" w:themeColor="text1"/>
              </w:rPr>
              <w:t>Sin ejecutar</w:t>
            </w:r>
          </w:p>
        </w:tc>
      </w:tr>
      <w:tr w:rsidR="002A2730" w:rsidRPr="00827AF4" w14:paraId="4D5CC4C6" w14:textId="77777777" w:rsidTr="002A2730">
        <w:tc>
          <w:tcPr>
            <w:tcW w:w="3131" w:type="dxa"/>
          </w:tcPr>
          <w:p w14:paraId="28252D4E" w14:textId="77777777" w:rsidR="002A2730" w:rsidRPr="00B558AC" w:rsidRDefault="002A2730" w:rsidP="002A2730">
            <w:pPr>
              <w:jc w:val="both"/>
              <w:rPr>
                <w:rFonts w:ascii="Work Sans" w:hAnsi="Work Sans" w:cs="Arial"/>
                <w:color w:val="000000" w:themeColor="text1"/>
              </w:rPr>
            </w:pPr>
            <w:r w:rsidRPr="004B1C5D">
              <w:rPr>
                <w:rFonts w:ascii="Work Sans" w:hAnsi="Work Sans" w:cs="Arial"/>
                <w:color w:val="000000" w:themeColor="text1"/>
              </w:rPr>
              <w:t>El indicador se encuentra cumplido en su totalidad.</w:t>
            </w:r>
          </w:p>
          <w:p w14:paraId="3547DEFB" w14:textId="77777777" w:rsidR="002A2730" w:rsidRPr="00B558AC" w:rsidRDefault="002A2730" w:rsidP="002A2730">
            <w:pPr>
              <w:jc w:val="both"/>
              <w:rPr>
                <w:rFonts w:ascii="Work Sans" w:hAnsi="Work Sans" w:cs="Arial"/>
                <w:color w:val="000000" w:themeColor="text1"/>
              </w:rPr>
            </w:pPr>
          </w:p>
        </w:tc>
        <w:tc>
          <w:tcPr>
            <w:tcW w:w="3131" w:type="dxa"/>
          </w:tcPr>
          <w:p w14:paraId="21420E44" w14:textId="77777777" w:rsidR="002A2730" w:rsidRPr="00827AF4" w:rsidRDefault="002A2730" w:rsidP="002A2730">
            <w:pPr>
              <w:jc w:val="both"/>
              <w:rPr>
                <w:rFonts w:ascii="Work Sans" w:hAnsi="Work Sans" w:cs="Arial"/>
                <w:color w:val="000000" w:themeColor="text1"/>
              </w:rPr>
            </w:pPr>
            <w:r w:rsidRPr="00B558AC">
              <w:rPr>
                <w:rFonts w:ascii="Work Sans" w:hAnsi="Work Sans" w:cs="Arial"/>
                <w:color w:val="000000" w:themeColor="text1"/>
              </w:rPr>
              <w:t xml:space="preserve">El indicador </w:t>
            </w:r>
            <w:r>
              <w:rPr>
                <w:rFonts w:ascii="Work Sans" w:hAnsi="Work Sans" w:cs="Arial"/>
                <w:color w:val="000000" w:themeColor="text1"/>
              </w:rPr>
              <w:t>muestra un grado de avance, pero no logró conseguir el cumplimiento en su totalidad</w:t>
            </w:r>
          </w:p>
        </w:tc>
        <w:tc>
          <w:tcPr>
            <w:tcW w:w="3132" w:type="dxa"/>
          </w:tcPr>
          <w:p w14:paraId="7E29FA53" w14:textId="77777777" w:rsidR="002A2730" w:rsidRPr="004B1C5D" w:rsidRDefault="002A2730" w:rsidP="002A2730">
            <w:pPr>
              <w:jc w:val="both"/>
              <w:rPr>
                <w:rFonts w:ascii="Work Sans" w:hAnsi="Work Sans" w:cs="Arial"/>
                <w:iCs/>
                <w:color w:val="000000" w:themeColor="text1"/>
              </w:rPr>
            </w:pPr>
            <w:r w:rsidRPr="00827AF4">
              <w:rPr>
                <w:rFonts w:ascii="Work Sans" w:hAnsi="Work Sans" w:cs="Arial"/>
                <w:iCs/>
                <w:color w:val="000000" w:themeColor="text1"/>
              </w:rPr>
              <w:t>El indicador no se pudo cumplir por una causa determinada.</w:t>
            </w:r>
          </w:p>
          <w:p w14:paraId="2B754820" w14:textId="77777777" w:rsidR="002A2730" w:rsidRPr="00B558AC" w:rsidRDefault="002A2730" w:rsidP="002A2730">
            <w:pPr>
              <w:jc w:val="both"/>
              <w:rPr>
                <w:rFonts w:ascii="Work Sans" w:hAnsi="Work Sans" w:cs="Arial"/>
                <w:color w:val="000000" w:themeColor="text1"/>
              </w:rPr>
            </w:pPr>
          </w:p>
        </w:tc>
      </w:tr>
    </w:tbl>
    <w:p w14:paraId="7AF5AEE7" w14:textId="77777777" w:rsidR="002A2730" w:rsidRDefault="002A2730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3E43BEFE" w14:textId="77777777" w:rsidR="002A2730" w:rsidRDefault="002A2730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226B9012" w14:textId="77777777" w:rsidR="00AA38F0" w:rsidRDefault="00AA38F0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1382C4EE" w14:textId="77777777" w:rsidR="00AA38F0" w:rsidRDefault="00AA38F0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69C0F394" w14:textId="77777777" w:rsidR="009D5F8C" w:rsidRDefault="009D5F8C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2A4D7319" w14:textId="77777777" w:rsidR="009D5F8C" w:rsidRDefault="009D5F8C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784542FF" w14:textId="77777777" w:rsidR="009D5F8C" w:rsidRDefault="009D5F8C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1AC98F64" w14:textId="77777777" w:rsidR="00AA38F0" w:rsidRDefault="00AA38F0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4802DF7A" w14:textId="784D6581" w:rsidR="002A2730" w:rsidRPr="00752EE2" w:rsidRDefault="002A2730" w:rsidP="002A2730">
      <w:pPr>
        <w:spacing w:after="0" w:line="240" w:lineRule="auto"/>
        <w:jc w:val="center"/>
        <w:rPr>
          <w:rFonts w:ascii="Work Sans" w:eastAsia="Work Sans" w:hAnsi="Work Sans" w:cs="Work Sans"/>
          <w:color w:val="808080" w:themeColor="background1" w:themeShade="80"/>
        </w:rPr>
      </w:pPr>
      <w:r w:rsidRPr="00752EE2">
        <w:rPr>
          <w:rFonts w:ascii="Work Sans" w:eastAsia="Work Sans" w:hAnsi="Work Sans" w:cs="Work Sans"/>
          <w:color w:val="808080" w:themeColor="background1" w:themeShade="80"/>
        </w:rPr>
        <w:t>Tabla 2. Parámetro para el nivel de ejecución</w:t>
      </w:r>
      <w:r w:rsidR="005A7BF8">
        <w:rPr>
          <w:rFonts w:ascii="Work Sans" w:eastAsia="Work Sans" w:hAnsi="Work Sans" w:cs="Work Sans"/>
          <w:color w:val="808080" w:themeColor="background1" w:themeShade="80"/>
        </w:rPr>
        <w:t xml:space="preserve"> a diciembre</w:t>
      </w:r>
    </w:p>
    <w:tbl>
      <w:tblPr>
        <w:tblW w:w="56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437"/>
        <w:gridCol w:w="2831"/>
      </w:tblGrid>
      <w:tr w:rsidR="002A2730" w:rsidRPr="00827AF4" w14:paraId="718C0726" w14:textId="77777777" w:rsidTr="002A2730">
        <w:trPr>
          <w:trHeight w:val="291"/>
          <w:jc w:val="center"/>
        </w:trPr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36EB" w14:textId="77777777" w:rsidR="002A2730" w:rsidRPr="00B558AC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B558AC">
              <w:rPr>
                <w:rFonts w:ascii="Work Sans" w:hAnsi="Work Sans" w:cs="Arial"/>
                <w:b/>
                <w:bCs/>
                <w:color w:val="000000" w:themeColor="text1"/>
                <w:sz w:val="18"/>
                <w:szCs w:val="18"/>
              </w:rPr>
              <w:t xml:space="preserve">PORCENTAJE DE EJECUCIÓN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A8EB" w14:textId="77777777" w:rsidR="002A2730" w:rsidRPr="00827AF4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827AF4">
              <w:rPr>
                <w:rFonts w:ascii="Work Sans" w:hAnsi="Work Sans" w:cs="Arial"/>
                <w:b/>
                <w:bCs/>
                <w:color w:val="000000" w:themeColor="text1"/>
                <w:sz w:val="18"/>
                <w:szCs w:val="18"/>
              </w:rPr>
              <w:t>ESTADO DEL NIVEL DE EJECUCIÓN</w:t>
            </w:r>
          </w:p>
        </w:tc>
      </w:tr>
      <w:tr w:rsidR="002A2730" w:rsidRPr="00827AF4" w14:paraId="347547BF" w14:textId="77777777" w:rsidTr="002A2730">
        <w:trPr>
          <w:trHeight w:val="29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3D75" w14:textId="77777777" w:rsidR="002A2730" w:rsidRPr="004B1C5D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4B1C5D"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86B2" w14:textId="77777777" w:rsidR="002A2730" w:rsidRPr="00B558AC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48A9" w14:textId="77777777" w:rsidR="002A2730" w:rsidRPr="00827AF4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827AF4"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Bajo</w:t>
            </w:r>
          </w:p>
        </w:tc>
      </w:tr>
      <w:tr w:rsidR="002A2730" w:rsidRPr="00827AF4" w14:paraId="65D29A43" w14:textId="77777777" w:rsidTr="002A2730">
        <w:trPr>
          <w:trHeight w:val="240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47C0" w14:textId="77777777" w:rsidR="002A2730" w:rsidRPr="004B1C5D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4B1C5D"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50AA" w14:textId="77777777" w:rsidR="002A2730" w:rsidRPr="00B558AC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B558AC"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6146" w14:textId="77777777" w:rsidR="002A2730" w:rsidRPr="00827AF4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827AF4"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Medio</w:t>
            </w:r>
          </w:p>
        </w:tc>
      </w:tr>
      <w:tr w:rsidR="002A2730" w:rsidRPr="00827AF4" w14:paraId="304A6B8D" w14:textId="77777777" w:rsidTr="002A2730">
        <w:trPr>
          <w:trHeight w:val="23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E264" w14:textId="77777777" w:rsidR="002A2730" w:rsidRPr="004B1C5D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4B1C5D"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FF4E" w14:textId="77777777" w:rsidR="002A2730" w:rsidRPr="00B558AC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B558AC"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192B" w14:textId="77777777" w:rsidR="002A2730" w:rsidRPr="00827AF4" w:rsidRDefault="002A2730" w:rsidP="002A2730">
            <w:pPr>
              <w:spacing w:after="0" w:line="240" w:lineRule="auto"/>
              <w:jc w:val="center"/>
              <w:rPr>
                <w:rFonts w:ascii="Work Sans" w:hAnsi="Work Sans" w:cs="Arial"/>
                <w:color w:val="000000" w:themeColor="text1"/>
                <w:sz w:val="18"/>
                <w:szCs w:val="18"/>
              </w:rPr>
            </w:pPr>
            <w:r w:rsidRPr="00827AF4">
              <w:rPr>
                <w:rFonts w:ascii="Work Sans" w:hAnsi="Work Sans" w:cs="Arial"/>
                <w:color w:val="000000" w:themeColor="text1"/>
                <w:sz w:val="18"/>
                <w:szCs w:val="18"/>
              </w:rPr>
              <w:t>Alto</w:t>
            </w:r>
          </w:p>
        </w:tc>
      </w:tr>
    </w:tbl>
    <w:p w14:paraId="320CCD66" w14:textId="77777777" w:rsidR="002A2730" w:rsidRPr="006E1645" w:rsidRDefault="002A2730" w:rsidP="002A2730">
      <w:pPr>
        <w:spacing w:after="0" w:line="240" w:lineRule="auto"/>
        <w:jc w:val="both"/>
        <w:rPr>
          <w:rFonts w:ascii="Work Sans" w:hAnsi="Work Sans" w:cs="Arial"/>
          <w:b/>
          <w:color w:val="000000" w:themeColor="text1"/>
          <w:sz w:val="24"/>
          <w:szCs w:val="24"/>
        </w:rPr>
      </w:pPr>
    </w:p>
    <w:p w14:paraId="28990BA6" w14:textId="5F53F617" w:rsidR="002A2730" w:rsidRPr="00597DDD" w:rsidRDefault="000950EA" w:rsidP="00752EE2">
      <w:pPr>
        <w:pStyle w:val="Ttulo1"/>
        <w:keepLines w:val="0"/>
        <w:spacing w:before="0" w:line="240" w:lineRule="auto"/>
        <w:ind w:left="567" w:hanging="567"/>
        <w:jc w:val="both"/>
        <w:rPr>
          <w:rFonts w:ascii="Work Sans" w:hAnsi="Work Sans"/>
          <w:sz w:val="24"/>
          <w:szCs w:val="24"/>
        </w:rPr>
      </w:pPr>
      <w:r w:rsidRPr="00597DDD">
        <w:rPr>
          <w:rFonts w:ascii="Work Sans" w:hAnsi="Work Sans"/>
          <w:sz w:val="24"/>
          <w:szCs w:val="24"/>
        </w:rPr>
        <w:lastRenderedPageBreak/>
        <w:t xml:space="preserve">RESULTADOS PLAN DE ACCIÓN </w:t>
      </w:r>
      <w:r w:rsidR="00EF032A">
        <w:rPr>
          <w:rFonts w:ascii="Work Sans" w:hAnsi="Work Sans"/>
          <w:sz w:val="24"/>
          <w:szCs w:val="24"/>
        </w:rPr>
        <w:t>TERCER</w:t>
      </w:r>
      <w:r w:rsidR="00497B9E">
        <w:rPr>
          <w:rFonts w:ascii="Work Sans" w:hAnsi="Work Sans"/>
          <w:sz w:val="24"/>
          <w:szCs w:val="24"/>
        </w:rPr>
        <w:t xml:space="preserve"> TRIMESTRE 2022</w:t>
      </w:r>
    </w:p>
    <w:p w14:paraId="1EC36AA2" w14:textId="6811C148" w:rsidR="002A2730" w:rsidRPr="001D0E7B" w:rsidRDefault="002A2730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  <w:r w:rsidRPr="001D0E7B">
        <w:rPr>
          <w:rFonts w:ascii="Work Sans" w:hAnsi="Work Sans" w:cs="Arial"/>
          <w:color w:val="000000" w:themeColor="text1"/>
        </w:rPr>
        <w:t>El proceso de planeación del Ministerio de Minas</w:t>
      </w:r>
      <w:r w:rsidR="003B645D" w:rsidRPr="001D0E7B">
        <w:rPr>
          <w:rFonts w:ascii="Work Sans" w:hAnsi="Work Sans" w:cs="Arial"/>
          <w:color w:val="000000" w:themeColor="text1"/>
        </w:rPr>
        <w:t xml:space="preserve"> y Energía para la vigencia 202</w:t>
      </w:r>
      <w:r w:rsidR="00497B9E">
        <w:rPr>
          <w:rFonts w:ascii="Work Sans" w:hAnsi="Work Sans" w:cs="Arial"/>
          <w:color w:val="000000" w:themeColor="text1"/>
        </w:rPr>
        <w:t>2</w:t>
      </w:r>
      <w:r w:rsidRPr="001D0E7B">
        <w:rPr>
          <w:rFonts w:ascii="Work Sans" w:hAnsi="Work Sans" w:cs="Arial"/>
          <w:color w:val="000000" w:themeColor="text1"/>
        </w:rPr>
        <w:t xml:space="preserve">, estuvo determinado por la construcción del Plan Nacional de Desarrollo 2018-2022, que fue aprobado con la expedición de la Ley 1955 del 25 mayo de 2019, “Pacto por </w:t>
      </w:r>
      <w:r w:rsidR="00AA38F0">
        <w:rPr>
          <w:rFonts w:ascii="Work Sans" w:hAnsi="Work Sans" w:cs="Arial"/>
          <w:color w:val="000000" w:themeColor="text1"/>
        </w:rPr>
        <w:t>Colombia, Pacto por la Equidad”, articulado con la</w:t>
      </w:r>
      <w:r w:rsidR="00CA5EE6">
        <w:rPr>
          <w:rFonts w:ascii="Work Sans" w:hAnsi="Work Sans" w:cs="Arial"/>
          <w:color w:val="000000" w:themeColor="text1"/>
        </w:rPr>
        <w:t>s</w:t>
      </w:r>
      <w:r w:rsidR="00AA38F0">
        <w:rPr>
          <w:rFonts w:ascii="Work Sans" w:hAnsi="Work Sans" w:cs="Arial"/>
          <w:color w:val="000000" w:themeColor="text1"/>
        </w:rPr>
        <w:t xml:space="preserve"> metas Estratégicas Institucionales. </w:t>
      </w:r>
    </w:p>
    <w:p w14:paraId="49DE79B4" w14:textId="77777777" w:rsidR="002A2730" w:rsidRPr="001D0E7B" w:rsidRDefault="002A2730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0E74524C" w14:textId="58576FE7" w:rsidR="002A2730" w:rsidRPr="00F90E7A" w:rsidRDefault="00C6679B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  <w:r w:rsidRPr="00192D6A">
        <w:rPr>
          <w:rFonts w:ascii="Work Sans" w:hAnsi="Work Sans" w:cs="Arial"/>
        </w:rPr>
        <w:t xml:space="preserve">El </w:t>
      </w:r>
      <w:r w:rsidR="00497B9E" w:rsidRPr="00192D6A">
        <w:rPr>
          <w:rFonts w:ascii="Work Sans" w:hAnsi="Work Sans" w:cs="Arial"/>
        </w:rPr>
        <w:t>Plan de Acción 2022</w:t>
      </w:r>
      <w:r w:rsidR="00E526CA" w:rsidRPr="00192D6A">
        <w:rPr>
          <w:rFonts w:ascii="Work Sans" w:hAnsi="Work Sans" w:cs="Arial"/>
        </w:rPr>
        <w:t xml:space="preserve"> </w:t>
      </w:r>
      <w:r w:rsidR="002A2730" w:rsidRPr="00192D6A">
        <w:rPr>
          <w:rFonts w:ascii="Work Sans" w:hAnsi="Work Sans" w:cs="Arial"/>
        </w:rPr>
        <w:t>quedó c</w:t>
      </w:r>
      <w:r w:rsidR="00AA38F0" w:rsidRPr="00192D6A">
        <w:rPr>
          <w:rFonts w:ascii="Work Sans" w:hAnsi="Work Sans" w:cs="Arial"/>
        </w:rPr>
        <w:t>onformado por 23</w:t>
      </w:r>
      <w:r w:rsidRPr="00192D6A">
        <w:rPr>
          <w:rFonts w:ascii="Work Sans" w:hAnsi="Work Sans" w:cs="Arial"/>
        </w:rPr>
        <w:t xml:space="preserve"> planes con</w:t>
      </w:r>
      <w:r w:rsidR="00E526CA" w:rsidRPr="00192D6A">
        <w:rPr>
          <w:rFonts w:ascii="Work Sans" w:hAnsi="Work Sans" w:cs="Arial"/>
        </w:rPr>
        <w:t xml:space="preserve"> 1</w:t>
      </w:r>
      <w:r w:rsidR="00EC3470">
        <w:rPr>
          <w:rFonts w:ascii="Work Sans" w:hAnsi="Work Sans" w:cs="Arial"/>
        </w:rPr>
        <w:t>07</w:t>
      </w:r>
      <w:r w:rsidR="00E74786" w:rsidRPr="00192D6A">
        <w:rPr>
          <w:rFonts w:ascii="Work Sans" w:hAnsi="Work Sans" w:cs="Arial"/>
        </w:rPr>
        <w:t xml:space="preserve"> metas de resultados y </w:t>
      </w:r>
      <w:r w:rsidR="00AD5402">
        <w:rPr>
          <w:rFonts w:ascii="Work Sans" w:hAnsi="Work Sans" w:cs="Arial"/>
        </w:rPr>
        <w:t>291</w:t>
      </w:r>
      <w:r w:rsidR="00D847E7" w:rsidRPr="00192D6A">
        <w:rPr>
          <w:rFonts w:ascii="Work Sans" w:hAnsi="Work Sans" w:cs="Arial"/>
        </w:rPr>
        <w:t xml:space="preserve"> metas de productos representados en el mismo </w:t>
      </w:r>
      <w:r w:rsidR="001A3F15" w:rsidRPr="00192D6A">
        <w:rPr>
          <w:rFonts w:ascii="Work Sans" w:hAnsi="Work Sans" w:cs="Arial"/>
        </w:rPr>
        <w:t>número</w:t>
      </w:r>
      <w:r w:rsidR="00D847E7" w:rsidRPr="00192D6A">
        <w:rPr>
          <w:rFonts w:ascii="Work Sans" w:hAnsi="Work Sans" w:cs="Arial"/>
        </w:rPr>
        <w:t xml:space="preserve"> de indicadores de productos</w:t>
      </w:r>
      <w:r w:rsidR="00D847E7">
        <w:rPr>
          <w:rFonts w:ascii="Work Sans" w:hAnsi="Work Sans" w:cs="Arial"/>
          <w:color w:val="000000" w:themeColor="text1"/>
        </w:rPr>
        <w:t>.</w:t>
      </w:r>
    </w:p>
    <w:p w14:paraId="575C2FD8" w14:textId="77777777" w:rsidR="00102178" w:rsidRPr="00F90E7A" w:rsidRDefault="00102178" w:rsidP="002A2730">
      <w:pPr>
        <w:spacing w:after="0" w:line="240" w:lineRule="auto"/>
        <w:jc w:val="both"/>
        <w:rPr>
          <w:rFonts w:ascii="Work Sans" w:hAnsi="Work Sans" w:cs="Arial"/>
          <w:color w:val="000000" w:themeColor="text1"/>
        </w:rPr>
      </w:pPr>
    </w:p>
    <w:p w14:paraId="326A3E70" w14:textId="320FB9B4" w:rsidR="00985163" w:rsidRDefault="00344B3F" w:rsidP="00344B3F">
      <w:pPr>
        <w:spacing w:after="0" w:line="240" w:lineRule="auto"/>
        <w:jc w:val="center"/>
        <w:rPr>
          <w:rFonts w:ascii="Work Sans" w:hAnsi="Work Sans" w:cs="Arial"/>
          <w:b/>
          <w:color w:val="000000" w:themeColor="text1"/>
        </w:rPr>
      </w:pPr>
      <w:r w:rsidRPr="00344B3F">
        <w:rPr>
          <w:rFonts w:ascii="Work Sans" w:hAnsi="Work Sans" w:cs="Arial"/>
          <w:b/>
          <w:color w:val="000000" w:themeColor="text1"/>
        </w:rPr>
        <w:t xml:space="preserve">Avance Plan de Acción </w:t>
      </w:r>
      <w:r w:rsidR="00FC700F">
        <w:rPr>
          <w:rFonts w:ascii="Work Sans" w:hAnsi="Work Sans" w:cs="Arial"/>
          <w:b/>
          <w:color w:val="000000" w:themeColor="text1"/>
        </w:rPr>
        <w:t>tercer</w:t>
      </w:r>
      <w:r w:rsidR="00497B9E">
        <w:rPr>
          <w:rFonts w:ascii="Work Sans" w:hAnsi="Work Sans" w:cs="Arial"/>
          <w:b/>
          <w:color w:val="000000" w:themeColor="text1"/>
        </w:rPr>
        <w:t xml:space="preserve"> </w:t>
      </w:r>
      <w:r>
        <w:rPr>
          <w:rFonts w:ascii="Work Sans" w:hAnsi="Work Sans" w:cs="Arial"/>
          <w:b/>
          <w:color w:val="000000" w:themeColor="text1"/>
        </w:rPr>
        <w:t>en el trimestre</w:t>
      </w:r>
    </w:p>
    <w:p w14:paraId="6F99452D" w14:textId="77777777" w:rsidR="006C54DC" w:rsidRDefault="006C54DC" w:rsidP="00344B3F">
      <w:pPr>
        <w:spacing w:after="0" w:line="240" w:lineRule="auto"/>
        <w:jc w:val="center"/>
        <w:rPr>
          <w:rFonts w:ascii="Work Sans" w:hAnsi="Work Sans" w:cs="Arial"/>
          <w:b/>
          <w:color w:val="000000" w:themeColor="text1"/>
        </w:rPr>
      </w:pPr>
    </w:p>
    <w:tbl>
      <w:tblPr>
        <w:tblW w:w="7640" w:type="dxa"/>
        <w:tblInd w:w="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  <w:gridCol w:w="1740"/>
      </w:tblGrid>
      <w:tr w:rsidR="00B770C9" w:rsidRPr="00263A00" w14:paraId="57B26754" w14:textId="77777777" w:rsidTr="00263A00">
        <w:trPr>
          <w:trHeight w:val="300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199B" w14:textId="77777777" w:rsidR="00B770C9" w:rsidRPr="00263A00" w:rsidRDefault="00B770C9" w:rsidP="00263A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CO"/>
              </w:rPr>
            </w:pPr>
            <w:r w:rsidRPr="00263A00">
              <w:rPr>
                <w:rFonts w:eastAsia="Times New Roman"/>
                <w:b/>
                <w:bCs/>
                <w:color w:val="000000"/>
                <w:lang w:val="es-CO"/>
              </w:rPr>
              <w:t>DEPENDENCIA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04BC" w14:textId="77777777" w:rsidR="00B770C9" w:rsidRPr="00263A00" w:rsidRDefault="00B770C9" w:rsidP="00263A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CO"/>
              </w:rPr>
            </w:pPr>
            <w:r w:rsidRPr="00263A00">
              <w:rPr>
                <w:rFonts w:eastAsia="Times New Roman"/>
                <w:b/>
                <w:bCs/>
                <w:color w:val="000000"/>
                <w:lang w:val="es-CO"/>
              </w:rPr>
              <w:t>PORCENTAJE</w:t>
            </w:r>
          </w:p>
        </w:tc>
      </w:tr>
      <w:tr w:rsidR="00B770C9" w:rsidRPr="00263A00" w14:paraId="0F1B538B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E2D8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GRUPO DE ASUNTOS LEGISLATIVOS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3576CD" w14:textId="1985F416" w:rsidR="00B770C9" w:rsidRPr="00896A6D" w:rsidRDefault="00FC700F" w:rsidP="00263A00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83.3</w:t>
            </w:r>
            <w:r w:rsidR="00B770C9" w:rsidRPr="00896A6D">
              <w:rPr>
                <w:rFonts w:eastAsia="Times New Roman"/>
                <w:lang w:val="es-CO"/>
              </w:rPr>
              <w:t>%</w:t>
            </w:r>
          </w:p>
        </w:tc>
      </w:tr>
      <w:tr w:rsidR="00B770C9" w:rsidRPr="00263A00" w14:paraId="70EC9F4C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B066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OFICINA DE ASUNTOS AMBIENTALES Y SOCIALES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5BF5AB" w14:textId="7D3712A7" w:rsidR="00B770C9" w:rsidRPr="00896A6D" w:rsidRDefault="00FC700F" w:rsidP="00263A00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71.0</w:t>
            </w:r>
            <w:r w:rsidR="00B770C9" w:rsidRPr="00896A6D">
              <w:rPr>
                <w:rFonts w:eastAsia="Times New Roman"/>
                <w:lang w:val="es-CO"/>
              </w:rPr>
              <w:t>%</w:t>
            </w:r>
          </w:p>
        </w:tc>
      </w:tr>
      <w:tr w:rsidR="00B770C9" w:rsidRPr="00263A00" w14:paraId="6B34A49D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2251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GRUPO UNIDAD DE RESULTADOS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395312" w14:textId="7FE2C251" w:rsidR="00B770C9" w:rsidRPr="00896A6D" w:rsidRDefault="00215988" w:rsidP="00215988">
            <w:pPr>
              <w:spacing w:after="0" w:line="240" w:lineRule="auto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 xml:space="preserve">           70.3</w:t>
            </w:r>
            <w:r w:rsidR="00B770C9" w:rsidRPr="00896A6D">
              <w:rPr>
                <w:rFonts w:eastAsia="Times New Roman"/>
                <w:lang w:val="es-CO"/>
              </w:rPr>
              <w:t>%</w:t>
            </w:r>
          </w:p>
        </w:tc>
      </w:tr>
      <w:tr w:rsidR="00B770C9" w:rsidRPr="00263A00" w14:paraId="7594AC6B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1B63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OFICINA DE CONTROL DISCIPLINARIO INTERNO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D384A6" w14:textId="65CDCF1F" w:rsidR="00B770C9" w:rsidRPr="00896A6D" w:rsidRDefault="00215988" w:rsidP="00A40649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85.0</w:t>
            </w:r>
            <w:r w:rsidR="00B770C9" w:rsidRPr="00896A6D">
              <w:rPr>
                <w:rFonts w:eastAsia="Times New Roman"/>
                <w:lang w:val="es-CO"/>
              </w:rPr>
              <w:t>%</w:t>
            </w:r>
          </w:p>
        </w:tc>
      </w:tr>
      <w:tr w:rsidR="00B770C9" w:rsidRPr="00263A00" w14:paraId="42C83588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7616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SUBDIRECCIÓN ADMINISTRATIVA Y FINANCIERA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6A1584" w14:textId="27118307" w:rsidR="00B770C9" w:rsidRPr="00896A6D" w:rsidRDefault="00215988" w:rsidP="00263A00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10</w:t>
            </w:r>
            <w:r w:rsidR="00B770C9" w:rsidRPr="00896A6D">
              <w:rPr>
                <w:rFonts w:eastAsia="Times New Roman"/>
                <w:lang w:val="es-CO"/>
              </w:rPr>
              <w:t>0,0%</w:t>
            </w:r>
          </w:p>
        </w:tc>
      </w:tr>
      <w:tr w:rsidR="00B770C9" w:rsidRPr="00263A00" w14:paraId="61D2ADAC" w14:textId="77777777" w:rsidTr="00896A6D">
        <w:trPr>
          <w:trHeight w:val="6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6E50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GRUPO DE TECNOLOGÍAS DE INFORMACIÓN Y LAS COMUNICACIONES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26A69D" w14:textId="1020C950" w:rsidR="00B770C9" w:rsidRPr="00896A6D" w:rsidRDefault="00215988" w:rsidP="00263A00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75.0</w:t>
            </w:r>
            <w:r w:rsidR="00B770C9" w:rsidRPr="00896A6D">
              <w:rPr>
                <w:rFonts w:eastAsia="Times New Roman"/>
                <w:lang w:val="es-CO"/>
              </w:rPr>
              <w:t>%</w:t>
            </w:r>
          </w:p>
        </w:tc>
      </w:tr>
      <w:tr w:rsidR="00B770C9" w:rsidRPr="00263A00" w14:paraId="45C4A2BB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9B1D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OFICINA DE ASUNTOS REGULATORIOS Y EMPRESARIALES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149C80" w14:textId="4687E0F6" w:rsidR="00B770C9" w:rsidRPr="00896A6D" w:rsidRDefault="00FC700F" w:rsidP="00263A00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79.0</w:t>
            </w:r>
            <w:r w:rsidR="00B770C9" w:rsidRPr="00896A6D">
              <w:rPr>
                <w:rFonts w:eastAsia="Times New Roman"/>
                <w:lang w:val="es-CO"/>
              </w:rPr>
              <w:t>%</w:t>
            </w:r>
          </w:p>
        </w:tc>
      </w:tr>
      <w:tr w:rsidR="00B770C9" w:rsidRPr="00263A00" w14:paraId="109019A7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BDAC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OFICINA ASESORA JURÍDICA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B02BE0" w14:textId="060FC675" w:rsidR="00B770C9" w:rsidRPr="00896A6D" w:rsidRDefault="00215988" w:rsidP="00A40649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58.4</w:t>
            </w:r>
            <w:r w:rsidR="00B770C9" w:rsidRPr="00896A6D">
              <w:rPr>
                <w:rFonts w:eastAsia="Times New Roman"/>
                <w:lang w:val="es-CO"/>
              </w:rPr>
              <w:t>%</w:t>
            </w:r>
          </w:p>
        </w:tc>
      </w:tr>
      <w:tr w:rsidR="00B770C9" w:rsidRPr="00263A00" w14:paraId="57B5F072" w14:textId="77777777" w:rsidTr="00896A6D">
        <w:trPr>
          <w:trHeight w:val="6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D704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GRUPO DE RELACIONAMIENTO CON EL CIUDADANO Y GESTIÓN DE LA INFORMACIÓN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96289" w14:textId="69555D3D" w:rsidR="00B770C9" w:rsidRPr="00896A6D" w:rsidRDefault="00FC700F" w:rsidP="00263A00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57.6</w:t>
            </w:r>
            <w:r w:rsidR="00B770C9" w:rsidRPr="00896A6D">
              <w:rPr>
                <w:rFonts w:eastAsia="Times New Roman"/>
                <w:lang w:val="es-CO"/>
              </w:rPr>
              <w:t>%</w:t>
            </w:r>
          </w:p>
        </w:tc>
      </w:tr>
      <w:tr w:rsidR="00B770C9" w:rsidRPr="00263A00" w14:paraId="3DE753F2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2B9D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GRUPO DE EJECUCIÓN PRESUPUESTAL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541CF3" w14:textId="78049466" w:rsidR="00B770C9" w:rsidRPr="00896A6D" w:rsidRDefault="00215988" w:rsidP="00263A00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7</w:t>
            </w:r>
            <w:r w:rsidR="00B770C9" w:rsidRPr="00896A6D">
              <w:rPr>
                <w:rFonts w:eastAsia="Times New Roman"/>
                <w:lang w:val="es-CO"/>
              </w:rPr>
              <w:t>0,0%</w:t>
            </w:r>
          </w:p>
        </w:tc>
      </w:tr>
      <w:tr w:rsidR="00B770C9" w:rsidRPr="00263A00" w14:paraId="53EE1005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3132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OFICINA DE CONTROL INTERNO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48338B" w14:textId="26088FEF" w:rsidR="00B770C9" w:rsidRPr="00896A6D" w:rsidRDefault="00215988" w:rsidP="00263A00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65.6</w:t>
            </w:r>
            <w:r w:rsidR="00B770C9" w:rsidRPr="00896A6D">
              <w:rPr>
                <w:rFonts w:eastAsia="Times New Roman"/>
                <w:lang w:val="es-CO"/>
              </w:rPr>
              <w:t>%</w:t>
            </w:r>
          </w:p>
        </w:tc>
      </w:tr>
      <w:tr w:rsidR="00B770C9" w:rsidRPr="00263A00" w14:paraId="3C08A101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5E04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VICEMINISTRO DE MINAS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DAC01B" w14:textId="6E6A9983" w:rsidR="00B770C9" w:rsidRPr="00896A6D" w:rsidRDefault="00215988" w:rsidP="00A40649">
            <w:pPr>
              <w:spacing w:after="0" w:line="240" w:lineRule="auto"/>
              <w:jc w:val="center"/>
              <w:rPr>
                <w:rStyle w:val="nfasis"/>
              </w:rPr>
            </w:pPr>
            <w:r w:rsidRPr="00896A6D">
              <w:rPr>
                <w:rFonts w:eastAsia="Times New Roman"/>
                <w:iCs/>
                <w:lang w:val="es-CO"/>
              </w:rPr>
              <w:t>100</w:t>
            </w:r>
            <w:r w:rsidR="00B770C9" w:rsidRPr="00896A6D">
              <w:rPr>
                <w:rFonts w:eastAsia="Times New Roman"/>
                <w:iCs/>
                <w:lang w:val="es-CO"/>
              </w:rPr>
              <w:t>%</w:t>
            </w:r>
          </w:p>
        </w:tc>
      </w:tr>
      <w:tr w:rsidR="00B770C9" w:rsidRPr="00263A00" w14:paraId="4718BB45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6AFF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GRUPO DE EJECUCIÓN ESTRATÉGICA DEL SECTOR EXTRACTIVO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684FC" w14:textId="0FE8BD13" w:rsidR="00B770C9" w:rsidRPr="00896A6D" w:rsidRDefault="00FC700F" w:rsidP="00A40649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60.0</w:t>
            </w:r>
            <w:r w:rsidR="00B770C9" w:rsidRPr="00896A6D">
              <w:rPr>
                <w:rFonts w:eastAsia="Times New Roman"/>
                <w:lang w:val="es-CO"/>
              </w:rPr>
              <w:t>%</w:t>
            </w:r>
          </w:p>
        </w:tc>
      </w:tr>
      <w:tr w:rsidR="00B770C9" w:rsidRPr="00263A00" w14:paraId="74065FA9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2C7F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SUBDIRECCIÓN DE TALENTO HUMANO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18C339" w14:textId="30DEEE4D" w:rsidR="00B770C9" w:rsidRPr="00896A6D" w:rsidRDefault="00215988" w:rsidP="00A40649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48.7</w:t>
            </w:r>
            <w:r w:rsidR="00B770C9" w:rsidRPr="00896A6D">
              <w:rPr>
                <w:rFonts w:eastAsia="Times New Roman"/>
                <w:lang w:val="es-CO"/>
              </w:rPr>
              <w:t>%</w:t>
            </w:r>
          </w:p>
        </w:tc>
      </w:tr>
      <w:tr w:rsidR="00B770C9" w:rsidRPr="00263A00" w14:paraId="412E10D4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BD46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DIRECCIÓN DE HIDROCARBUROS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B9E90A" w14:textId="53D38476" w:rsidR="00B770C9" w:rsidRPr="00896A6D" w:rsidRDefault="00FC700F" w:rsidP="00263A00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56.9</w:t>
            </w:r>
            <w:r w:rsidR="00B770C9" w:rsidRPr="00896A6D">
              <w:rPr>
                <w:rFonts w:eastAsia="Times New Roman"/>
                <w:lang w:val="es-CO"/>
              </w:rPr>
              <w:t>%</w:t>
            </w:r>
          </w:p>
        </w:tc>
      </w:tr>
      <w:tr w:rsidR="00B770C9" w:rsidRPr="00263A00" w14:paraId="1CA57DA5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79F2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GRUPO DE SERVICIOS ADMINISTRATIVOS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7B0617" w14:textId="2C292054" w:rsidR="00B770C9" w:rsidRPr="00896A6D" w:rsidRDefault="00215988" w:rsidP="00215988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77.3</w:t>
            </w:r>
            <w:r w:rsidR="00B770C9" w:rsidRPr="00896A6D">
              <w:rPr>
                <w:rFonts w:eastAsia="Times New Roman"/>
                <w:lang w:val="es-CO"/>
              </w:rPr>
              <w:t>%</w:t>
            </w:r>
          </w:p>
        </w:tc>
      </w:tr>
      <w:tr w:rsidR="00B770C9" w:rsidRPr="00263A00" w14:paraId="53CC17E7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DBE4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DIRECCIÓN DE ENERGÍA ELÉCTRICA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ED6F19" w14:textId="6C765E7C" w:rsidR="00B770C9" w:rsidRPr="00896A6D" w:rsidRDefault="00304E69" w:rsidP="00A40649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43.0%</w:t>
            </w:r>
          </w:p>
        </w:tc>
      </w:tr>
      <w:tr w:rsidR="00B770C9" w:rsidRPr="00263A00" w14:paraId="3985F204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E2A4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GRUPO DE GESTIÓN CONTRACTUAL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AC92BC" w14:textId="77777777" w:rsidR="00B770C9" w:rsidRPr="00896A6D" w:rsidRDefault="00B770C9" w:rsidP="00263A00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33,3%</w:t>
            </w:r>
          </w:p>
        </w:tc>
      </w:tr>
      <w:tr w:rsidR="00B770C9" w:rsidRPr="00263A00" w14:paraId="7569F2C5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5460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GRUPO DE COMUNICACIÓN Y PRENSA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8BC750" w14:textId="3CCAE832" w:rsidR="00B770C9" w:rsidRPr="00896A6D" w:rsidRDefault="00215988" w:rsidP="00263A00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28.0%</w:t>
            </w:r>
          </w:p>
        </w:tc>
      </w:tr>
      <w:tr w:rsidR="00B770C9" w:rsidRPr="00263A00" w14:paraId="36A32D85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5DEF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DIRECCIÓN DE MINERÍA EMPRESARIAL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78918" w14:textId="3DC98564" w:rsidR="00B770C9" w:rsidRPr="00896A6D" w:rsidRDefault="00FC700F" w:rsidP="00FC700F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35.9%</w:t>
            </w:r>
          </w:p>
        </w:tc>
      </w:tr>
      <w:tr w:rsidR="00B770C9" w:rsidRPr="00263A00" w14:paraId="2FB00E39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0BF4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DIRECCIÓN DE FORMALIZACIÓN MINERA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D551CD" w14:textId="34154686" w:rsidR="00B770C9" w:rsidRPr="00896A6D" w:rsidRDefault="00FC700F" w:rsidP="00A40649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25.0%</w:t>
            </w:r>
          </w:p>
        </w:tc>
      </w:tr>
      <w:tr w:rsidR="00B770C9" w:rsidRPr="00263A00" w14:paraId="03561084" w14:textId="77777777" w:rsidTr="00896A6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7800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OFICINA DE PLANEACIÓN Y GESTIÓN INTERNACIONAL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EE62ED" w14:textId="4FD70EEF" w:rsidR="00B770C9" w:rsidRPr="00896A6D" w:rsidRDefault="00215988" w:rsidP="00263A00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36.0</w:t>
            </w:r>
            <w:r w:rsidR="00B770C9" w:rsidRPr="00896A6D">
              <w:rPr>
                <w:rFonts w:eastAsia="Times New Roman"/>
                <w:lang w:val="es-CO"/>
              </w:rPr>
              <w:t>%</w:t>
            </w:r>
          </w:p>
        </w:tc>
      </w:tr>
      <w:tr w:rsidR="00B770C9" w:rsidRPr="00263A00" w14:paraId="536BBFAF" w14:textId="77777777" w:rsidTr="00896A6D">
        <w:trPr>
          <w:trHeight w:val="300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5985" w14:textId="77777777" w:rsidR="00B770C9" w:rsidRPr="00263A00" w:rsidRDefault="00B770C9" w:rsidP="00263A00">
            <w:pPr>
              <w:spacing w:after="0" w:line="240" w:lineRule="auto"/>
              <w:rPr>
                <w:rFonts w:eastAsia="Times New Roman"/>
                <w:color w:val="000000"/>
                <w:lang w:val="es-CO"/>
              </w:rPr>
            </w:pPr>
            <w:r w:rsidRPr="00263A00">
              <w:rPr>
                <w:rFonts w:eastAsia="Times New Roman"/>
                <w:color w:val="000000"/>
                <w:lang w:val="es-CO"/>
              </w:rPr>
              <w:t>GRUPO DE GESTIÓN FINANCIERA Y CONTABLE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AAF451" w14:textId="506EA6B2" w:rsidR="00B770C9" w:rsidRPr="00896A6D" w:rsidRDefault="00215988" w:rsidP="00263A00">
            <w:pPr>
              <w:spacing w:after="0" w:line="240" w:lineRule="auto"/>
              <w:jc w:val="center"/>
              <w:rPr>
                <w:rFonts w:eastAsia="Times New Roman"/>
                <w:lang w:val="es-CO"/>
              </w:rPr>
            </w:pPr>
            <w:r w:rsidRPr="00896A6D">
              <w:rPr>
                <w:rFonts w:eastAsia="Times New Roman"/>
                <w:lang w:val="es-CO"/>
              </w:rPr>
              <w:t>6</w:t>
            </w:r>
            <w:r w:rsidR="00B770C9" w:rsidRPr="00896A6D">
              <w:rPr>
                <w:rFonts w:eastAsia="Times New Roman"/>
                <w:lang w:val="es-CO"/>
              </w:rPr>
              <w:t>0,0%</w:t>
            </w:r>
          </w:p>
        </w:tc>
      </w:tr>
      <w:tr w:rsidR="00B770C9" w:rsidRPr="00263A00" w14:paraId="098B542A" w14:textId="77777777" w:rsidTr="00896A6D">
        <w:trPr>
          <w:trHeight w:val="300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AC0F" w14:textId="77777777" w:rsidR="00B770C9" w:rsidRPr="00263A00" w:rsidRDefault="00B770C9" w:rsidP="00977F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CO"/>
              </w:rPr>
            </w:pPr>
            <w:r w:rsidRPr="00263A00">
              <w:rPr>
                <w:rFonts w:eastAsia="Times New Roman"/>
                <w:b/>
                <w:bCs/>
                <w:color w:val="000000"/>
                <w:lang w:val="es-CO"/>
              </w:rPr>
              <w:t>PROMEDIO GENERAL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78F25" w14:textId="3047319E" w:rsidR="00B770C9" w:rsidRPr="00896A6D" w:rsidRDefault="00F357F5" w:rsidP="00977FF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es-CO"/>
              </w:rPr>
            </w:pPr>
            <w:r>
              <w:rPr>
                <w:rFonts w:eastAsia="Times New Roman"/>
                <w:b/>
                <w:bCs/>
                <w:lang w:val="es-CO"/>
              </w:rPr>
              <w:t>61</w:t>
            </w:r>
            <w:r w:rsidR="00754EA6" w:rsidRPr="00896A6D">
              <w:rPr>
                <w:rFonts w:eastAsia="Times New Roman"/>
                <w:b/>
                <w:bCs/>
                <w:lang w:val="es-CO"/>
              </w:rPr>
              <w:t>.7</w:t>
            </w:r>
            <w:r w:rsidR="00B770C9" w:rsidRPr="00896A6D">
              <w:rPr>
                <w:rFonts w:eastAsia="Times New Roman"/>
                <w:b/>
                <w:bCs/>
                <w:lang w:val="es-CO"/>
              </w:rPr>
              <w:t>%</w:t>
            </w:r>
          </w:p>
        </w:tc>
      </w:tr>
    </w:tbl>
    <w:p w14:paraId="65FFBCD1" w14:textId="77777777" w:rsidR="006C54DC" w:rsidRDefault="006C54DC" w:rsidP="00344B3F">
      <w:pPr>
        <w:spacing w:after="0" w:line="240" w:lineRule="auto"/>
        <w:jc w:val="center"/>
        <w:rPr>
          <w:rFonts w:ascii="Work Sans" w:hAnsi="Work Sans" w:cs="Arial"/>
          <w:b/>
          <w:color w:val="000000" w:themeColor="text1"/>
        </w:rPr>
      </w:pPr>
    </w:p>
    <w:p w14:paraId="0BB84A5F" w14:textId="77777777" w:rsidR="00B770C9" w:rsidRDefault="00B770C9" w:rsidP="00344B3F">
      <w:pPr>
        <w:spacing w:after="0" w:line="240" w:lineRule="auto"/>
        <w:jc w:val="center"/>
        <w:rPr>
          <w:rFonts w:ascii="Work Sans" w:hAnsi="Work Sans" w:cs="Arial"/>
          <w:b/>
          <w:color w:val="000000" w:themeColor="text1"/>
        </w:rPr>
      </w:pPr>
    </w:p>
    <w:p w14:paraId="1EFB864E" w14:textId="77777777" w:rsidR="006C54DC" w:rsidRDefault="006C54DC" w:rsidP="00344B3F">
      <w:pPr>
        <w:spacing w:after="0" w:line="240" w:lineRule="auto"/>
        <w:jc w:val="center"/>
        <w:rPr>
          <w:rFonts w:ascii="Work Sans" w:hAnsi="Work Sans" w:cs="Arial"/>
          <w:b/>
          <w:color w:val="000000" w:themeColor="text1"/>
        </w:rPr>
      </w:pPr>
    </w:p>
    <w:p w14:paraId="1A1047D7" w14:textId="0F497FA5" w:rsidR="00024BE9" w:rsidRPr="00597DDD" w:rsidRDefault="00024BE9" w:rsidP="00B11F1D">
      <w:pPr>
        <w:spacing w:after="0" w:line="240" w:lineRule="auto"/>
        <w:jc w:val="both"/>
        <w:rPr>
          <w:rFonts w:ascii="Work Sans" w:hAnsi="Work Sans"/>
          <w:b/>
          <w:sz w:val="24"/>
          <w:szCs w:val="24"/>
        </w:rPr>
      </w:pPr>
      <w:r w:rsidRPr="00597DDD">
        <w:rPr>
          <w:rFonts w:ascii="Work Sans" w:hAnsi="Work Sans"/>
          <w:b/>
          <w:sz w:val="24"/>
          <w:szCs w:val="24"/>
        </w:rPr>
        <w:t>ANALISIS DE RESULTADOS</w:t>
      </w:r>
    </w:p>
    <w:p w14:paraId="20A7461D" w14:textId="3DE90933" w:rsidR="00597DDD" w:rsidRDefault="00597DDD" w:rsidP="00B11F1D">
      <w:pPr>
        <w:spacing w:after="0" w:line="240" w:lineRule="auto"/>
        <w:jc w:val="both"/>
        <w:rPr>
          <w:rFonts w:ascii="Work Sans" w:hAnsi="Work Sans"/>
          <w:b/>
          <w:color w:val="3164C9"/>
          <w:sz w:val="24"/>
          <w:szCs w:val="24"/>
        </w:rPr>
      </w:pPr>
    </w:p>
    <w:p w14:paraId="3012BC2D" w14:textId="790D64A6" w:rsidR="00597DDD" w:rsidRPr="00597DDD" w:rsidRDefault="00597DDD" w:rsidP="00B11F1D">
      <w:pPr>
        <w:spacing w:after="0" w:line="240" w:lineRule="auto"/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 w:rsidRPr="00597DDD">
        <w:rPr>
          <w:rFonts w:ascii="Work Sans" w:eastAsiaTheme="minorHAnsi" w:hAnsi="Work Sans" w:cs="Arial"/>
          <w:sz w:val="24"/>
          <w:szCs w:val="24"/>
          <w:lang w:val="es-CO" w:eastAsia="en-US"/>
        </w:rPr>
        <w:t>Los Objetivos plante</w:t>
      </w:r>
      <w:r w:rsidR="000412E9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ados en </w:t>
      </w:r>
      <w:r w:rsidR="00BA13C0">
        <w:rPr>
          <w:rFonts w:ascii="Work Sans" w:eastAsiaTheme="minorHAnsi" w:hAnsi="Work Sans" w:cs="Arial"/>
          <w:sz w:val="24"/>
          <w:szCs w:val="24"/>
          <w:lang w:val="es-CO" w:eastAsia="en-US"/>
        </w:rPr>
        <w:t>e</w:t>
      </w:r>
      <w:r w:rsidR="00754EA6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l plan de acción para el </w:t>
      </w:r>
      <w:r w:rsidR="001C5314">
        <w:rPr>
          <w:rFonts w:ascii="Work Sans" w:eastAsiaTheme="minorHAnsi" w:hAnsi="Work Sans" w:cs="Arial"/>
          <w:sz w:val="24"/>
          <w:szCs w:val="24"/>
          <w:lang w:val="es-CO" w:eastAsia="en-US"/>
        </w:rPr>
        <w:t>tercer trimestre</w:t>
      </w:r>
      <w:r w:rsidR="000412E9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de </w:t>
      </w:r>
      <w:r w:rsidR="001C5314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2022 </w:t>
      </w:r>
      <w:r w:rsidR="001C5314" w:rsidRPr="00597DDD">
        <w:rPr>
          <w:rFonts w:ascii="Work Sans" w:eastAsiaTheme="minorHAnsi" w:hAnsi="Work Sans" w:cs="Arial"/>
          <w:sz w:val="24"/>
          <w:szCs w:val="24"/>
          <w:lang w:val="es-CO" w:eastAsia="en-US"/>
        </w:rPr>
        <w:t>alcanzaron</w:t>
      </w:r>
      <w:r w:rsidRPr="00597DDD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una ejecución del </w:t>
      </w:r>
      <w:r w:rsidR="00F357F5">
        <w:rPr>
          <w:rFonts w:ascii="Work Sans" w:eastAsiaTheme="minorHAnsi" w:hAnsi="Work Sans" w:cs="Arial"/>
          <w:b/>
          <w:sz w:val="24"/>
          <w:szCs w:val="24"/>
          <w:lang w:val="es-CO" w:eastAsia="en-US"/>
        </w:rPr>
        <w:t>61</w:t>
      </w:r>
      <w:r w:rsidR="00754EA6">
        <w:rPr>
          <w:rFonts w:ascii="Work Sans" w:eastAsiaTheme="minorHAnsi" w:hAnsi="Work Sans" w:cs="Arial"/>
          <w:b/>
          <w:sz w:val="24"/>
          <w:szCs w:val="24"/>
          <w:lang w:val="es-CO" w:eastAsia="en-US"/>
        </w:rPr>
        <w:t>.7</w:t>
      </w:r>
      <w:r w:rsidRPr="00597DDD">
        <w:rPr>
          <w:rFonts w:ascii="Work Sans" w:eastAsiaTheme="minorHAnsi" w:hAnsi="Work Sans" w:cs="Arial"/>
          <w:b/>
          <w:sz w:val="24"/>
          <w:szCs w:val="24"/>
          <w:lang w:val="es-CO" w:eastAsia="en-US"/>
        </w:rPr>
        <w:t>%</w:t>
      </w:r>
      <w:r w:rsidR="000412E9">
        <w:rPr>
          <w:rFonts w:ascii="Work Sans" w:eastAsiaTheme="minorHAnsi" w:hAnsi="Work Sans" w:cs="Arial"/>
          <w:b/>
          <w:sz w:val="24"/>
          <w:szCs w:val="24"/>
          <w:lang w:val="es-CO" w:eastAsia="en-US"/>
        </w:rPr>
        <w:t xml:space="preserve">, </w:t>
      </w:r>
      <w:r w:rsidR="000412E9" w:rsidRPr="000412E9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sobre </w:t>
      </w:r>
      <w:r w:rsidR="000412E9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un valor programado en el mismo periodo </w:t>
      </w:r>
      <w:r w:rsidR="00FD3002" w:rsidRPr="00192D6A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de </w:t>
      </w:r>
      <w:r w:rsidR="00754EA6">
        <w:rPr>
          <w:rFonts w:ascii="Work Sans" w:eastAsiaTheme="minorHAnsi" w:hAnsi="Work Sans" w:cs="Arial"/>
          <w:b/>
          <w:sz w:val="24"/>
          <w:szCs w:val="24"/>
          <w:lang w:val="es-CO" w:eastAsia="en-US"/>
        </w:rPr>
        <w:t>57.2</w:t>
      </w:r>
      <w:r w:rsidR="0093458D" w:rsidRPr="00FE4D7E">
        <w:rPr>
          <w:rFonts w:ascii="Work Sans" w:eastAsiaTheme="minorHAnsi" w:hAnsi="Work Sans" w:cs="Arial"/>
          <w:b/>
          <w:sz w:val="24"/>
          <w:szCs w:val="24"/>
          <w:lang w:val="es-CO" w:eastAsia="en-US"/>
        </w:rPr>
        <w:t>%</w:t>
      </w:r>
    </w:p>
    <w:p w14:paraId="398FE0C6" w14:textId="77777777" w:rsidR="001930B4" w:rsidRDefault="001930B4" w:rsidP="001930B4">
      <w:pPr>
        <w:spacing w:after="0"/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</w:p>
    <w:p w14:paraId="4BA0F3E6" w14:textId="151B4EED" w:rsidR="0093458D" w:rsidRPr="00CF1593" w:rsidRDefault="00B50414" w:rsidP="005D10A0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 w:rsidRPr="007C1C00">
        <w:rPr>
          <w:rFonts w:ascii="Work Sans" w:eastAsiaTheme="minorHAnsi" w:hAnsi="Work Sans" w:cs="Arial"/>
          <w:sz w:val="24"/>
          <w:szCs w:val="24"/>
          <w:lang w:val="es-CO" w:eastAsia="en-US"/>
        </w:rPr>
        <w:lastRenderedPageBreak/>
        <w:t>Para este trimestre de los 29</w:t>
      </w:r>
      <w:r w:rsidR="00EC3470" w:rsidRPr="007C1C00">
        <w:rPr>
          <w:rFonts w:ascii="Work Sans" w:eastAsiaTheme="minorHAnsi" w:hAnsi="Work Sans" w:cs="Arial"/>
          <w:sz w:val="24"/>
          <w:szCs w:val="24"/>
          <w:lang w:val="es-CO" w:eastAsia="en-US"/>
        </w:rPr>
        <w:t>1</w:t>
      </w:r>
      <w:r w:rsidRPr="007C1C00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indicadores, </w:t>
      </w:r>
      <w:r w:rsidR="007C1C00" w:rsidRPr="007C1C00">
        <w:rPr>
          <w:rFonts w:ascii="Work Sans" w:eastAsiaTheme="minorHAnsi" w:hAnsi="Work Sans" w:cs="Arial"/>
          <w:sz w:val="24"/>
          <w:szCs w:val="24"/>
          <w:lang w:val="es-CO" w:eastAsia="en-US"/>
        </w:rPr>
        <w:t>95</w:t>
      </w:r>
      <w:r w:rsidR="0093458D" w:rsidRPr="007C1C00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tenían </w:t>
      </w:r>
      <w:r w:rsidR="007C1C00" w:rsidRPr="007C1C00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programación de ejecución, los cuales cumplieron, </w:t>
      </w:r>
      <w:r w:rsidR="001930B4" w:rsidRPr="007C1C00">
        <w:rPr>
          <w:rFonts w:ascii="Work Sans" w:eastAsiaTheme="minorHAnsi" w:hAnsi="Work Sans" w:cs="Arial"/>
          <w:sz w:val="24"/>
          <w:szCs w:val="24"/>
          <w:lang w:val="es-CO" w:eastAsia="en-US"/>
        </w:rPr>
        <w:t>Ahora</w:t>
      </w:r>
      <w:r w:rsidRPr="007C1C00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</w:t>
      </w:r>
      <w:r w:rsidR="001930B4" w:rsidRPr="007C1C00">
        <w:rPr>
          <w:rFonts w:ascii="Work Sans" w:eastAsiaTheme="minorHAnsi" w:hAnsi="Work Sans" w:cs="Arial"/>
          <w:sz w:val="24"/>
          <w:szCs w:val="24"/>
          <w:lang w:val="es-CO" w:eastAsia="en-US"/>
        </w:rPr>
        <w:t>bien,</w:t>
      </w:r>
      <w:r w:rsidRPr="007C1C00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de </w:t>
      </w:r>
      <w:r w:rsidR="007C1C00" w:rsidRPr="007C1C00">
        <w:rPr>
          <w:rFonts w:ascii="Work Sans" w:eastAsiaTheme="minorHAnsi" w:hAnsi="Work Sans" w:cs="Arial"/>
          <w:sz w:val="24"/>
          <w:szCs w:val="24"/>
          <w:lang w:val="es-CO" w:eastAsia="en-US"/>
        </w:rPr>
        <w:t>84</w:t>
      </w:r>
      <w:r w:rsidR="00F43423" w:rsidRPr="007C1C00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indicadores</w:t>
      </w:r>
      <w:r w:rsidR="0093458D" w:rsidRPr="007C1C00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que no tenían programación para este m</w:t>
      </w:r>
      <w:r w:rsidRPr="007C1C00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ismo periodo, </w:t>
      </w:r>
      <w:r w:rsidR="007C1C00" w:rsidRPr="007C1C00">
        <w:rPr>
          <w:rFonts w:ascii="Work Sans" w:eastAsiaTheme="minorHAnsi" w:hAnsi="Work Sans" w:cs="Arial"/>
          <w:sz w:val="24"/>
          <w:szCs w:val="24"/>
          <w:lang w:val="es-CO" w:eastAsia="en-US"/>
        </w:rPr>
        <w:t>23</w:t>
      </w:r>
      <w:r w:rsidRPr="007C1C00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indicadores mostraron </w:t>
      </w:r>
      <w:r w:rsidR="001930B4" w:rsidRPr="007C1C00">
        <w:rPr>
          <w:rFonts w:ascii="Work Sans" w:eastAsiaTheme="minorHAnsi" w:hAnsi="Work Sans" w:cs="Arial"/>
          <w:sz w:val="24"/>
          <w:szCs w:val="24"/>
          <w:lang w:val="es-CO" w:eastAsia="en-US"/>
        </w:rPr>
        <w:t>avances, ayudando</w:t>
      </w:r>
      <w:r w:rsidR="0093458D" w:rsidRPr="007C1C00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al logro de la ejecución del presente trimestre.</w:t>
      </w:r>
    </w:p>
    <w:p w14:paraId="237B2EFA" w14:textId="4F8248E8" w:rsidR="00D8127E" w:rsidRPr="00CF1593" w:rsidRDefault="00D8127E" w:rsidP="005D10A0">
      <w:pPr>
        <w:jc w:val="both"/>
        <w:rPr>
          <w:rFonts w:ascii="Work Sans" w:eastAsiaTheme="minorHAnsi" w:hAnsi="Work Sans" w:cs="Arial"/>
          <w:b/>
          <w:bCs/>
          <w:sz w:val="24"/>
          <w:szCs w:val="24"/>
          <w:lang w:val="es-CO" w:eastAsia="en-US"/>
        </w:rPr>
      </w:pPr>
      <w:r w:rsidRPr="00CF1593">
        <w:rPr>
          <w:rFonts w:ascii="Work Sans" w:eastAsiaTheme="minorHAnsi" w:hAnsi="Work Sans" w:cs="Arial"/>
          <w:b/>
          <w:bCs/>
          <w:sz w:val="24"/>
          <w:szCs w:val="24"/>
          <w:lang w:val="es-CO" w:eastAsia="en-US"/>
        </w:rPr>
        <w:t>Indicadores con programación, sin avances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3539"/>
        <w:gridCol w:w="4955"/>
      </w:tblGrid>
      <w:tr w:rsidR="00B57609" w:rsidRPr="00B57609" w14:paraId="08503BF2" w14:textId="5BD197D7" w:rsidTr="00B62280">
        <w:trPr>
          <w:trHeight w:val="300"/>
        </w:trPr>
        <w:tc>
          <w:tcPr>
            <w:tcW w:w="2083" w:type="pct"/>
            <w:noWrap/>
            <w:hideMark/>
          </w:tcPr>
          <w:p w14:paraId="5D11A0BC" w14:textId="0E768891" w:rsidR="00EE79C3" w:rsidRPr="00EE79C3" w:rsidRDefault="00EE79C3" w:rsidP="00EE79C3">
            <w:pPr>
              <w:rPr>
                <w:rFonts w:ascii="Works sans" w:eastAsia="Times New Roman" w:hAnsi="Works sans"/>
                <w:b/>
                <w:bCs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b/>
                <w:bCs/>
                <w:sz w:val="16"/>
                <w:szCs w:val="16"/>
              </w:rPr>
              <w:t>Dependencia</w:t>
            </w:r>
          </w:p>
        </w:tc>
        <w:tc>
          <w:tcPr>
            <w:tcW w:w="2917" w:type="pct"/>
          </w:tcPr>
          <w:p w14:paraId="12BAFE08" w14:textId="598DFA2B" w:rsidR="00EE79C3" w:rsidRPr="00B57609" w:rsidRDefault="00B57609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b/>
                <w:bCs/>
                <w:sz w:val="16"/>
                <w:szCs w:val="16"/>
              </w:rPr>
              <w:t xml:space="preserve">Indicador de </w:t>
            </w:r>
            <w:r w:rsidR="00EE79C3" w:rsidRPr="00B57609">
              <w:rPr>
                <w:rFonts w:ascii="Works sans" w:hAnsi="Works sans" w:cs="Calibri"/>
                <w:b/>
                <w:bCs/>
                <w:sz w:val="16"/>
                <w:szCs w:val="16"/>
              </w:rPr>
              <w:t>Producto</w:t>
            </w:r>
          </w:p>
        </w:tc>
      </w:tr>
      <w:tr w:rsidR="00B57609" w:rsidRPr="00B57609" w14:paraId="0611B38B" w14:textId="44CB8FF4" w:rsidTr="00B62280">
        <w:trPr>
          <w:trHeight w:val="300"/>
        </w:trPr>
        <w:tc>
          <w:tcPr>
            <w:tcW w:w="2083" w:type="pct"/>
            <w:noWrap/>
            <w:hideMark/>
          </w:tcPr>
          <w:p w14:paraId="091858C2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HIDROCARBUROS</w:t>
            </w:r>
          </w:p>
        </w:tc>
        <w:tc>
          <w:tcPr>
            <w:tcW w:w="2917" w:type="pct"/>
          </w:tcPr>
          <w:p w14:paraId="505E5A8F" w14:textId="4EC4EE66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>Inversionista para la planta de regasificación y el gasoducto Buenaventura- Yumbo seleccionado</w:t>
            </w:r>
          </w:p>
        </w:tc>
      </w:tr>
      <w:tr w:rsidR="00B57609" w:rsidRPr="00B57609" w14:paraId="4FD056A6" w14:textId="73FA9FB6" w:rsidTr="00B62280">
        <w:trPr>
          <w:trHeight w:val="300"/>
        </w:trPr>
        <w:tc>
          <w:tcPr>
            <w:tcW w:w="2083" w:type="pct"/>
            <w:noWrap/>
            <w:hideMark/>
          </w:tcPr>
          <w:p w14:paraId="70217D49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HIDROCARBUROS</w:t>
            </w:r>
          </w:p>
        </w:tc>
        <w:tc>
          <w:tcPr>
            <w:tcW w:w="2917" w:type="pct"/>
          </w:tcPr>
          <w:p w14:paraId="70CDEF18" w14:textId="275A4DCD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>Proyecto de adición al Decreto  1073 de 2015 con los ajustes a los criterios para las declaraciones de producción de gas natural elaborado.</w:t>
            </w:r>
          </w:p>
        </w:tc>
      </w:tr>
      <w:tr w:rsidR="00B57609" w:rsidRPr="00B57609" w14:paraId="376E5E5A" w14:textId="4E678278" w:rsidTr="00B62280">
        <w:trPr>
          <w:trHeight w:val="300"/>
        </w:trPr>
        <w:tc>
          <w:tcPr>
            <w:tcW w:w="2083" w:type="pct"/>
            <w:noWrap/>
            <w:hideMark/>
          </w:tcPr>
          <w:p w14:paraId="06990556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HIDROCARBUROS</w:t>
            </w:r>
          </w:p>
        </w:tc>
        <w:tc>
          <w:tcPr>
            <w:tcW w:w="2917" w:type="pct"/>
          </w:tcPr>
          <w:p w14:paraId="74051CFE" w14:textId="03362F98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 xml:space="preserve"> Proyecto de Reglamento Técnico que establece el marco normativo de calidad Auto GLP. elaborado</w:t>
            </w:r>
          </w:p>
        </w:tc>
      </w:tr>
      <w:tr w:rsidR="00B57609" w:rsidRPr="00B57609" w14:paraId="7FFD2002" w14:textId="50CC7C4F" w:rsidTr="00B62280">
        <w:trPr>
          <w:trHeight w:val="300"/>
        </w:trPr>
        <w:tc>
          <w:tcPr>
            <w:tcW w:w="2083" w:type="pct"/>
            <w:noWrap/>
            <w:hideMark/>
          </w:tcPr>
          <w:p w14:paraId="20267FAF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HIDROCARBUROS</w:t>
            </w:r>
          </w:p>
        </w:tc>
        <w:tc>
          <w:tcPr>
            <w:tcW w:w="2917" w:type="pct"/>
          </w:tcPr>
          <w:p w14:paraId="4FC9D557" w14:textId="0D0A5801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 xml:space="preserve"> Proyecto de resolución por la cual se autoriza el uso del Gas Natural Licuado – GNL, como carburante en motores de combustión interna y carburante en transporte automotor (</w:t>
            </w:r>
            <w:proofErr w:type="spellStart"/>
            <w:r w:rsidRPr="00B57609">
              <w:rPr>
                <w:rFonts w:ascii="Works sans" w:hAnsi="Works sans" w:cs="Calibri"/>
                <w:sz w:val="16"/>
                <w:szCs w:val="16"/>
              </w:rPr>
              <w:t>autoGNL</w:t>
            </w:r>
            <w:proofErr w:type="spellEnd"/>
            <w:r w:rsidRPr="00B57609">
              <w:rPr>
                <w:rFonts w:ascii="Works sans" w:hAnsi="Works sans" w:cs="Calibri"/>
                <w:sz w:val="16"/>
                <w:szCs w:val="16"/>
              </w:rPr>
              <w:t>), para la realización de prueba piloto en el territorio nacional elaborado</w:t>
            </w:r>
          </w:p>
        </w:tc>
      </w:tr>
      <w:tr w:rsidR="00B57609" w:rsidRPr="00B57609" w14:paraId="23A8DADE" w14:textId="60DED955" w:rsidTr="00B62280">
        <w:trPr>
          <w:trHeight w:val="300"/>
        </w:trPr>
        <w:tc>
          <w:tcPr>
            <w:tcW w:w="2083" w:type="pct"/>
            <w:noWrap/>
            <w:hideMark/>
          </w:tcPr>
          <w:p w14:paraId="2CC1D8D9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HIDROCARBUROS</w:t>
            </w:r>
          </w:p>
        </w:tc>
        <w:tc>
          <w:tcPr>
            <w:tcW w:w="2917" w:type="pct"/>
          </w:tcPr>
          <w:p w14:paraId="604469D8" w14:textId="3B9D66C0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>Proyecto de acto administrativo de modificación de la  Resolución 181495 de 2009 que reglamenta la exploración y la explotación de Hidrocarburos elaborado</w:t>
            </w:r>
          </w:p>
        </w:tc>
      </w:tr>
      <w:tr w:rsidR="00B57609" w:rsidRPr="00B57609" w14:paraId="219D3FCD" w14:textId="207BA114" w:rsidTr="00B62280">
        <w:trPr>
          <w:trHeight w:val="300"/>
        </w:trPr>
        <w:tc>
          <w:tcPr>
            <w:tcW w:w="2083" w:type="pct"/>
            <w:noWrap/>
            <w:hideMark/>
          </w:tcPr>
          <w:p w14:paraId="1FE14EEB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HIDROCARBUROS</w:t>
            </w:r>
          </w:p>
        </w:tc>
        <w:tc>
          <w:tcPr>
            <w:tcW w:w="2917" w:type="pct"/>
          </w:tcPr>
          <w:p w14:paraId="41DF4120" w14:textId="2CD23FB1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>Proyecto de acto administrativo que establezca Reglamentación Técnica para proyectos de recobro mejorado y producción incremental  o reglamentación operaciones de recobro mejorado (EOR) elaborado.</w:t>
            </w:r>
          </w:p>
        </w:tc>
      </w:tr>
      <w:tr w:rsidR="00B57609" w:rsidRPr="00B57609" w14:paraId="6A39E1C8" w14:textId="18E245B1" w:rsidTr="00B62280">
        <w:trPr>
          <w:trHeight w:val="300"/>
        </w:trPr>
        <w:tc>
          <w:tcPr>
            <w:tcW w:w="2083" w:type="pct"/>
            <w:noWrap/>
            <w:hideMark/>
          </w:tcPr>
          <w:p w14:paraId="28A55851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HIDROCARBUROS</w:t>
            </w:r>
          </w:p>
        </w:tc>
        <w:tc>
          <w:tcPr>
            <w:tcW w:w="2917" w:type="pct"/>
          </w:tcPr>
          <w:p w14:paraId="3B98495A" w14:textId="1877711D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 xml:space="preserve"> Prueba piloto de </w:t>
            </w:r>
            <w:r w:rsidR="00B57609" w:rsidRPr="00B57609">
              <w:rPr>
                <w:rFonts w:ascii="Works sans" w:hAnsi="Works sans" w:cs="Calibri"/>
                <w:sz w:val="16"/>
                <w:szCs w:val="16"/>
              </w:rPr>
              <w:t>guía</w:t>
            </w:r>
            <w:r w:rsidRPr="00B57609">
              <w:rPr>
                <w:rFonts w:ascii="Works sans" w:hAnsi="Works sans" w:cs="Calibri"/>
                <w:sz w:val="16"/>
                <w:szCs w:val="16"/>
              </w:rPr>
              <w:t xml:space="preserve"> digital de transporte de crudo  realizado</w:t>
            </w:r>
          </w:p>
        </w:tc>
      </w:tr>
      <w:tr w:rsidR="00B57609" w:rsidRPr="00B57609" w14:paraId="59A1C7B1" w14:textId="0DDB5233" w:rsidTr="00B62280">
        <w:trPr>
          <w:trHeight w:val="300"/>
        </w:trPr>
        <w:tc>
          <w:tcPr>
            <w:tcW w:w="2083" w:type="pct"/>
            <w:noWrap/>
            <w:hideMark/>
          </w:tcPr>
          <w:p w14:paraId="4997A500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HIDROCARBUROS</w:t>
            </w:r>
          </w:p>
        </w:tc>
        <w:tc>
          <w:tcPr>
            <w:tcW w:w="2917" w:type="pct"/>
          </w:tcPr>
          <w:p w14:paraId="31ED35A3" w14:textId="10FF8973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 xml:space="preserve">Documento de evaluación de prueba del piloto de la </w:t>
            </w:r>
            <w:r w:rsidR="00B57609" w:rsidRPr="00B57609">
              <w:rPr>
                <w:rFonts w:ascii="Works sans" w:hAnsi="Works sans" w:cs="Calibri"/>
                <w:sz w:val="16"/>
                <w:szCs w:val="16"/>
              </w:rPr>
              <w:t>guía</w:t>
            </w:r>
            <w:r w:rsidRPr="00B57609">
              <w:rPr>
                <w:rFonts w:ascii="Works sans" w:hAnsi="Works sans" w:cs="Calibri"/>
                <w:sz w:val="16"/>
                <w:szCs w:val="16"/>
              </w:rPr>
              <w:t xml:space="preserve"> digital de transporte de crudo elaborado</w:t>
            </w:r>
          </w:p>
        </w:tc>
      </w:tr>
      <w:tr w:rsidR="00B57609" w:rsidRPr="00B57609" w14:paraId="1A792B47" w14:textId="5AEE5C03" w:rsidTr="00B62280">
        <w:trPr>
          <w:trHeight w:val="300"/>
        </w:trPr>
        <w:tc>
          <w:tcPr>
            <w:tcW w:w="2083" w:type="pct"/>
            <w:noWrap/>
            <w:hideMark/>
          </w:tcPr>
          <w:p w14:paraId="2E76B136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HIDROCARBUROS</w:t>
            </w:r>
          </w:p>
        </w:tc>
        <w:tc>
          <w:tcPr>
            <w:tcW w:w="2917" w:type="pct"/>
          </w:tcPr>
          <w:p w14:paraId="054CC2D3" w14:textId="6CDAC30F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>Proyecto de Resolución que establezca Reglamento Técnico del programa de calidad QA/QC elaborado</w:t>
            </w:r>
          </w:p>
        </w:tc>
      </w:tr>
      <w:tr w:rsidR="00B57609" w:rsidRPr="00B57609" w14:paraId="3E0413BA" w14:textId="1F7A0F50" w:rsidTr="00B62280">
        <w:trPr>
          <w:trHeight w:val="300"/>
        </w:trPr>
        <w:tc>
          <w:tcPr>
            <w:tcW w:w="2083" w:type="pct"/>
            <w:noWrap/>
            <w:hideMark/>
          </w:tcPr>
          <w:p w14:paraId="357E0149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HIDROCARBUROS</w:t>
            </w:r>
          </w:p>
        </w:tc>
        <w:tc>
          <w:tcPr>
            <w:tcW w:w="2917" w:type="pct"/>
          </w:tcPr>
          <w:p w14:paraId="28AA2317" w14:textId="35C77311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 xml:space="preserve">Reportes de gestión  conforme a la implementación del programa QA/QC y sus disposiciones elaborados y remitidos al Director de </w:t>
            </w:r>
            <w:r w:rsidR="00B57609" w:rsidRPr="00B57609">
              <w:rPr>
                <w:rFonts w:ascii="Works sans" w:hAnsi="Works sans" w:cs="Calibri"/>
                <w:sz w:val="16"/>
                <w:szCs w:val="16"/>
              </w:rPr>
              <w:t>hidrocarburos</w:t>
            </w:r>
          </w:p>
        </w:tc>
      </w:tr>
      <w:tr w:rsidR="00B57609" w:rsidRPr="00B57609" w14:paraId="65BA00C1" w14:textId="7FF6DAE1" w:rsidTr="00B62280">
        <w:trPr>
          <w:trHeight w:val="300"/>
        </w:trPr>
        <w:tc>
          <w:tcPr>
            <w:tcW w:w="2083" w:type="pct"/>
            <w:noWrap/>
            <w:hideMark/>
          </w:tcPr>
          <w:p w14:paraId="3D75A7FA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HIDROCARBUROS</w:t>
            </w:r>
          </w:p>
        </w:tc>
        <w:tc>
          <w:tcPr>
            <w:tcW w:w="2917" w:type="pct"/>
          </w:tcPr>
          <w:p w14:paraId="3C37DC14" w14:textId="4602CC4C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>Proyecto de acto administrativo que establezca Regulación de requisitos de agentes de la cadena elaborado</w:t>
            </w:r>
          </w:p>
        </w:tc>
      </w:tr>
      <w:tr w:rsidR="00B57609" w:rsidRPr="00B57609" w14:paraId="5E720A21" w14:textId="74646210" w:rsidTr="00B62280">
        <w:trPr>
          <w:trHeight w:val="300"/>
        </w:trPr>
        <w:tc>
          <w:tcPr>
            <w:tcW w:w="2083" w:type="pct"/>
            <w:noWrap/>
            <w:hideMark/>
          </w:tcPr>
          <w:p w14:paraId="2BBBCB46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HIDROCARBUROS</w:t>
            </w:r>
          </w:p>
        </w:tc>
        <w:tc>
          <w:tcPr>
            <w:tcW w:w="2917" w:type="pct"/>
          </w:tcPr>
          <w:p w14:paraId="4A12F394" w14:textId="541740AB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>Reportes sobre la actualización de contratos de suministro de los agentes y actores de la cadena de distribución de combustible  elaborados y remitidos al Director de Hidrocarburos</w:t>
            </w:r>
          </w:p>
        </w:tc>
      </w:tr>
      <w:tr w:rsidR="00B57609" w:rsidRPr="00B57609" w14:paraId="65C4F7C3" w14:textId="1B18BA0A" w:rsidTr="00B62280">
        <w:trPr>
          <w:trHeight w:val="300"/>
        </w:trPr>
        <w:tc>
          <w:tcPr>
            <w:tcW w:w="2083" w:type="pct"/>
            <w:noWrap/>
            <w:hideMark/>
          </w:tcPr>
          <w:p w14:paraId="57FB7BB0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HIDROCARBUROS</w:t>
            </w:r>
          </w:p>
        </w:tc>
        <w:tc>
          <w:tcPr>
            <w:tcW w:w="2917" w:type="pct"/>
          </w:tcPr>
          <w:p w14:paraId="1EA5C3E9" w14:textId="585996E9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>Convenio de cooperación con fuerza pública suscrito</w:t>
            </w:r>
          </w:p>
        </w:tc>
      </w:tr>
      <w:tr w:rsidR="00B57609" w:rsidRPr="00B57609" w14:paraId="53C5F640" w14:textId="7FFF5D9B" w:rsidTr="00B62280">
        <w:trPr>
          <w:trHeight w:val="300"/>
        </w:trPr>
        <w:tc>
          <w:tcPr>
            <w:tcW w:w="2083" w:type="pct"/>
            <w:noWrap/>
            <w:hideMark/>
          </w:tcPr>
          <w:p w14:paraId="5061D219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HIDROCARBUROS</w:t>
            </w:r>
          </w:p>
        </w:tc>
        <w:tc>
          <w:tcPr>
            <w:tcW w:w="2917" w:type="pct"/>
          </w:tcPr>
          <w:p w14:paraId="02B6F1E8" w14:textId="44590DBA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 xml:space="preserve">Proyecto de acto administrativo para la implementación de un sistema y/o mecanismo de monitoreo </w:t>
            </w:r>
            <w:r w:rsidR="00B57609" w:rsidRPr="00B57609">
              <w:rPr>
                <w:rFonts w:ascii="Works sans" w:hAnsi="Works sans" w:cs="Calibri"/>
                <w:sz w:val="16"/>
                <w:szCs w:val="16"/>
              </w:rPr>
              <w:t>tecnológico</w:t>
            </w:r>
            <w:r w:rsidRPr="00B57609">
              <w:rPr>
                <w:rFonts w:ascii="Works sans" w:hAnsi="Works sans" w:cs="Calibri"/>
                <w:sz w:val="16"/>
                <w:szCs w:val="16"/>
              </w:rPr>
              <w:t xml:space="preserve"> al transporte de combustible subsidiado elaborado</w:t>
            </w:r>
          </w:p>
        </w:tc>
      </w:tr>
      <w:tr w:rsidR="00B57609" w:rsidRPr="00B57609" w14:paraId="41C6ABF6" w14:textId="0837D16E" w:rsidTr="00B62280">
        <w:trPr>
          <w:trHeight w:val="300"/>
        </w:trPr>
        <w:tc>
          <w:tcPr>
            <w:tcW w:w="2083" w:type="pct"/>
            <w:noWrap/>
            <w:hideMark/>
          </w:tcPr>
          <w:p w14:paraId="6C84E80A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HIDROCARBUROS</w:t>
            </w:r>
          </w:p>
        </w:tc>
        <w:tc>
          <w:tcPr>
            <w:tcW w:w="2917" w:type="pct"/>
          </w:tcPr>
          <w:p w14:paraId="606A1C83" w14:textId="61D4A63A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>Proyecto de reglamentación técnica para el uso alternativo de biocombustibles en la cadena de suministro elaborado</w:t>
            </w:r>
          </w:p>
        </w:tc>
      </w:tr>
      <w:tr w:rsidR="00B57609" w:rsidRPr="00B57609" w14:paraId="44CB7271" w14:textId="35F9FAB4" w:rsidTr="00B62280">
        <w:trPr>
          <w:trHeight w:val="300"/>
        </w:trPr>
        <w:tc>
          <w:tcPr>
            <w:tcW w:w="2083" w:type="pct"/>
            <w:noWrap/>
            <w:hideMark/>
          </w:tcPr>
          <w:p w14:paraId="7DBFDE98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HIDROCARBUROS</w:t>
            </w:r>
          </w:p>
        </w:tc>
        <w:tc>
          <w:tcPr>
            <w:tcW w:w="2917" w:type="pct"/>
          </w:tcPr>
          <w:p w14:paraId="521399FD" w14:textId="55076D81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>La contratación de Auditoria de Oleoductos para cada transportador, en la vigencia 2022 efectuada</w:t>
            </w:r>
          </w:p>
        </w:tc>
      </w:tr>
      <w:tr w:rsidR="00B57609" w:rsidRPr="00B57609" w14:paraId="255DA917" w14:textId="1900CB9A" w:rsidTr="00B62280">
        <w:trPr>
          <w:trHeight w:val="300"/>
        </w:trPr>
        <w:tc>
          <w:tcPr>
            <w:tcW w:w="2083" w:type="pct"/>
            <w:noWrap/>
            <w:hideMark/>
          </w:tcPr>
          <w:p w14:paraId="4BF23164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HIDROCARBUROS</w:t>
            </w:r>
          </w:p>
        </w:tc>
        <w:tc>
          <w:tcPr>
            <w:tcW w:w="2917" w:type="pct"/>
          </w:tcPr>
          <w:p w14:paraId="4E8F8F56" w14:textId="5C39CCB6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 xml:space="preserve">Seguimiento y control a los informes de </w:t>
            </w:r>
            <w:r w:rsidR="00B57609" w:rsidRPr="00B57609">
              <w:rPr>
                <w:rFonts w:ascii="Works sans" w:hAnsi="Works sans" w:cs="Calibri"/>
                <w:sz w:val="16"/>
                <w:szCs w:val="16"/>
              </w:rPr>
              <w:t>Auditoria para</w:t>
            </w:r>
            <w:r w:rsidRPr="00B57609">
              <w:rPr>
                <w:rFonts w:ascii="Works sans" w:hAnsi="Works sans" w:cs="Calibri"/>
                <w:sz w:val="16"/>
                <w:szCs w:val="16"/>
              </w:rPr>
              <w:t xml:space="preserve"> cada transportador. realizada</w:t>
            </w:r>
          </w:p>
        </w:tc>
      </w:tr>
      <w:tr w:rsidR="00B57609" w:rsidRPr="00B57609" w14:paraId="69A015FF" w14:textId="24120CA9" w:rsidTr="00B62280">
        <w:trPr>
          <w:trHeight w:val="300"/>
        </w:trPr>
        <w:tc>
          <w:tcPr>
            <w:tcW w:w="2083" w:type="pct"/>
            <w:noWrap/>
            <w:hideMark/>
          </w:tcPr>
          <w:p w14:paraId="152C9014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HIDROCARBUROS</w:t>
            </w:r>
          </w:p>
        </w:tc>
        <w:tc>
          <w:tcPr>
            <w:tcW w:w="2917" w:type="pct"/>
          </w:tcPr>
          <w:p w14:paraId="637C83D6" w14:textId="3ADA9DC8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>Proyecto de Resolución con lineamientos de contratos de agentes de la cadena elaborado</w:t>
            </w:r>
          </w:p>
        </w:tc>
      </w:tr>
      <w:tr w:rsidR="00B57609" w:rsidRPr="00B57609" w14:paraId="5CEF47F4" w14:textId="6FE3D0DA" w:rsidTr="00B62280">
        <w:trPr>
          <w:trHeight w:val="300"/>
        </w:trPr>
        <w:tc>
          <w:tcPr>
            <w:tcW w:w="2083" w:type="pct"/>
            <w:noWrap/>
            <w:hideMark/>
          </w:tcPr>
          <w:p w14:paraId="3D78C376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MINERÍA EMPRESARIAL</w:t>
            </w:r>
          </w:p>
        </w:tc>
        <w:tc>
          <w:tcPr>
            <w:tcW w:w="2917" w:type="pct"/>
          </w:tcPr>
          <w:p w14:paraId="11D03B2D" w14:textId="7C7AEA1C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>Coordinación del acceso a servicios financieros de moneda extranjera realizado (Hoja de Ruta de procedimientos socializada)</w:t>
            </w:r>
          </w:p>
        </w:tc>
      </w:tr>
      <w:tr w:rsidR="00B57609" w:rsidRPr="00B57609" w14:paraId="6B4933A5" w14:textId="1274404A" w:rsidTr="00B62280">
        <w:trPr>
          <w:trHeight w:val="300"/>
        </w:trPr>
        <w:tc>
          <w:tcPr>
            <w:tcW w:w="2083" w:type="pct"/>
            <w:noWrap/>
            <w:hideMark/>
          </w:tcPr>
          <w:p w14:paraId="62A83D6C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DIRECCIÓN DE MINERÍA EMPRESARIAL</w:t>
            </w:r>
          </w:p>
        </w:tc>
        <w:tc>
          <w:tcPr>
            <w:tcW w:w="2917" w:type="pct"/>
          </w:tcPr>
          <w:p w14:paraId="10D32423" w14:textId="0F1E109C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>Evaluación e Implementación del mecanismo de negociación mercado spot para carbón consumo interno con Bolsa Mercantil realizado</w:t>
            </w:r>
          </w:p>
        </w:tc>
      </w:tr>
      <w:tr w:rsidR="00B57609" w:rsidRPr="00B57609" w14:paraId="63389492" w14:textId="0F6FE580" w:rsidTr="00B62280">
        <w:trPr>
          <w:trHeight w:val="300"/>
        </w:trPr>
        <w:tc>
          <w:tcPr>
            <w:tcW w:w="2083" w:type="pct"/>
            <w:noWrap/>
            <w:hideMark/>
          </w:tcPr>
          <w:p w14:paraId="724F31DB" w14:textId="77777777" w:rsidR="00EE79C3" w:rsidRPr="00EE79C3" w:rsidRDefault="00EE79C3" w:rsidP="00EE79C3">
            <w:pPr>
              <w:rPr>
                <w:rFonts w:ascii="Works sans" w:eastAsia="Times New Roman" w:hAnsi="Works sans"/>
                <w:sz w:val="16"/>
                <w:szCs w:val="16"/>
              </w:rPr>
            </w:pPr>
            <w:r w:rsidRPr="00EE79C3">
              <w:rPr>
                <w:rFonts w:ascii="Works sans" w:eastAsia="Times New Roman" w:hAnsi="Works sans"/>
                <w:sz w:val="16"/>
                <w:szCs w:val="16"/>
              </w:rPr>
              <w:t>OFICINA DE PLANEACIÓN Y GESTIÓN INTERNACIONAL</w:t>
            </w:r>
          </w:p>
        </w:tc>
        <w:tc>
          <w:tcPr>
            <w:tcW w:w="2917" w:type="pct"/>
          </w:tcPr>
          <w:p w14:paraId="52C41526" w14:textId="476C2EBE" w:rsidR="00EE79C3" w:rsidRPr="00B57609" w:rsidRDefault="00EE79C3" w:rsidP="00EE79C3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57609">
              <w:rPr>
                <w:rFonts w:ascii="Works sans" w:hAnsi="Works sans" w:cs="Calibri"/>
                <w:sz w:val="16"/>
                <w:szCs w:val="16"/>
              </w:rPr>
              <w:t>Sendas intervenidas en el ministerio</w:t>
            </w:r>
          </w:p>
        </w:tc>
      </w:tr>
    </w:tbl>
    <w:p w14:paraId="727B1A7C" w14:textId="77777777" w:rsidR="001930B4" w:rsidRDefault="001930B4" w:rsidP="001930B4">
      <w:pPr>
        <w:spacing w:after="0"/>
        <w:jc w:val="both"/>
        <w:rPr>
          <w:rFonts w:ascii="Work Sans" w:eastAsiaTheme="minorHAnsi" w:hAnsi="Work Sans" w:cs="Arial"/>
          <w:sz w:val="24"/>
          <w:szCs w:val="24"/>
          <w:highlight w:val="yellow"/>
          <w:lang w:val="es-CO" w:eastAsia="en-US"/>
        </w:rPr>
      </w:pPr>
    </w:p>
    <w:p w14:paraId="59C14572" w14:textId="46DC9E4F" w:rsidR="00FE4D7E" w:rsidRDefault="00C86571" w:rsidP="005D10A0">
      <w:pPr>
        <w:jc w:val="both"/>
        <w:rPr>
          <w:rFonts w:ascii="Work Sans" w:eastAsiaTheme="minorHAnsi" w:hAnsi="Work Sans" w:cs="Arial"/>
          <w:b/>
          <w:bCs/>
          <w:sz w:val="24"/>
          <w:szCs w:val="24"/>
          <w:lang w:val="es-CO" w:eastAsia="en-US"/>
        </w:rPr>
      </w:pPr>
      <w:r w:rsidRPr="00CF1593">
        <w:rPr>
          <w:rFonts w:ascii="Work Sans" w:eastAsiaTheme="minorHAnsi" w:hAnsi="Work Sans" w:cs="Arial"/>
          <w:b/>
          <w:bCs/>
          <w:sz w:val="24"/>
          <w:szCs w:val="24"/>
          <w:lang w:val="es-CO" w:eastAsia="en-US"/>
        </w:rPr>
        <w:t>Indicadores sin programación con avances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29"/>
        <w:gridCol w:w="4865"/>
      </w:tblGrid>
      <w:tr w:rsidR="00B62280" w:rsidRPr="00B62280" w14:paraId="0EBDCF1E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50FE6BB0" w14:textId="18880C65" w:rsidR="00B62280" w:rsidRPr="00B62280" w:rsidRDefault="00B62280" w:rsidP="00B62280">
            <w:pPr>
              <w:rPr>
                <w:rFonts w:ascii="Works sans" w:eastAsia="Times New Roman" w:hAnsi="Works sans" w:cs="Times New Roman"/>
                <w:b/>
                <w:bCs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b/>
                <w:bCs/>
                <w:sz w:val="16"/>
                <w:szCs w:val="16"/>
              </w:rPr>
              <w:t>Dependencia</w:t>
            </w:r>
          </w:p>
        </w:tc>
        <w:tc>
          <w:tcPr>
            <w:tcW w:w="3167" w:type="pct"/>
            <w:noWrap/>
            <w:hideMark/>
          </w:tcPr>
          <w:p w14:paraId="4B7626DD" w14:textId="65389127" w:rsidR="00B62280" w:rsidRPr="00B62280" w:rsidRDefault="00B62280" w:rsidP="00B62280">
            <w:pPr>
              <w:rPr>
                <w:rFonts w:ascii="Works sans" w:eastAsia="Times New Roman" w:hAnsi="Works sans" w:cs="Times New Roman"/>
                <w:b/>
                <w:bCs/>
                <w:sz w:val="16"/>
                <w:szCs w:val="16"/>
              </w:rPr>
            </w:pPr>
            <w:r>
              <w:rPr>
                <w:rFonts w:ascii="Works sans" w:eastAsia="Times New Roman" w:hAnsi="Works sans" w:cs="Times New Roman"/>
                <w:b/>
                <w:bCs/>
                <w:sz w:val="16"/>
                <w:szCs w:val="16"/>
              </w:rPr>
              <w:t xml:space="preserve">Indicador de </w:t>
            </w:r>
            <w:r w:rsidRPr="00B62280">
              <w:rPr>
                <w:rFonts w:ascii="Works sans" w:eastAsia="Times New Roman" w:hAnsi="Works sans" w:cs="Times New Roman"/>
                <w:b/>
                <w:bCs/>
                <w:sz w:val="16"/>
                <w:szCs w:val="16"/>
              </w:rPr>
              <w:t>Producto</w:t>
            </w:r>
          </w:p>
        </w:tc>
      </w:tr>
      <w:tr w:rsidR="00B62280" w:rsidRPr="00B62280" w14:paraId="3AD0B28F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22BF7BC8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DIRECCIÓN DE ENERGÍA ELÉCTRICA</w:t>
            </w:r>
          </w:p>
        </w:tc>
        <w:tc>
          <w:tcPr>
            <w:tcW w:w="3167" w:type="pct"/>
            <w:noWrap/>
            <w:hideMark/>
          </w:tcPr>
          <w:p w14:paraId="26FC5EE1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Actualización RETIE</w:t>
            </w:r>
          </w:p>
        </w:tc>
      </w:tr>
      <w:tr w:rsidR="00B62280" w:rsidRPr="00B62280" w14:paraId="6DAF740E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735EE319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DIRECCIÓN DE ENERGÍA ELÉCTRICA</w:t>
            </w:r>
          </w:p>
        </w:tc>
        <w:tc>
          <w:tcPr>
            <w:tcW w:w="3167" w:type="pct"/>
            <w:noWrap/>
            <w:hideMark/>
          </w:tcPr>
          <w:p w14:paraId="1A3B3D68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Actualización RETILAP</w:t>
            </w:r>
          </w:p>
        </w:tc>
      </w:tr>
      <w:tr w:rsidR="00B62280" w:rsidRPr="00B62280" w14:paraId="1F714B93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7F041C8B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DIRECCIÓN DE ENERGÍA ELÉCTRICA</w:t>
            </w:r>
          </w:p>
        </w:tc>
        <w:tc>
          <w:tcPr>
            <w:tcW w:w="3167" w:type="pct"/>
            <w:noWrap/>
            <w:hideMark/>
          </w:tcPr>
          <w:p w14:paraId="5BC7EA38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Elaboración RETSIT</w:t>
            </w:r>
          </w:p>
        </w:tc>
      </w:tr>
      <w:tr w:rsidR="00B62280" w:rsidRPr="00B62280" w14:paraId="7D94D356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586D0916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DIRECCIÓN DE ENERGÍA ELÉCTRICA</w:t>
            </w:r>
          </w:p>
        </w:tc>
        <w:tc>
          <w:tcPr>
            <w:tcW w:w="3167" w:type="pct"/>
            <w:noWrap/>
            <w:hideMark/>
          </w:tcPr>
          <w:p w14:paraId="6A028428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Número de usuarios conectados año 2022 con recursos privados</w:t>
            </w:r>
          </w:p>
        </w:tc>
      </w:tr>
      <w:tr w:rsidR="00B62280" w:rsidRPr="00B62280" w14:paraId="22C87430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517C7E28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DIRECCIÓN DE ENERGÍA ELÉCTRICA</w:t>
            </w:r>
          </w:p>
        </w:tc>
        <w:tc>
          <w:tcPr>
            <w:tcW w:w="3167" w:type="pct"/>
            <w:noWrap/>
            <w:hideMark/>
          </w:tcPr>
          <w:p w14:paraId="30009E5F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 xml:space="preserve">Preparar y realizar convocatoria - </w:t>
            </w:r>
            <w:proofErr w:type="spellStart"/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Prone</w:t>
            </w:r>
            <w:proofErr w:type="spellEnd"/>
          </w:p>
        </w:tc>
      </w:tr>
      <w:tr w:rsidR="00B62280" w:rsidRPr="00B62280" w14:paraId="73EDD341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7F1E0876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lastRenderedPageBreak/>
              <w:t>DIRECCIÓN DE ENERGÍA ELÉCTRICA</w:t>
            </w:r>
          </w:p>
        </w:tc>
        <w:tc>
          <w:tcPr>
            <w:tcW w:w="3167" w:type="pct"/>
            <w:noWrap/>
            <w:hideMark/>
          </w:tcPr>
          <w:p w14:paraId="3E378B75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Desarrollo de módulo de liquidación de rendimientos financieros e intereses</w:t>
            </w:r>
          </w:p>
        </w:tc>
      </w:tr>
      <w:tr w:rsidR="00B62280" w:rsidRPr="00B62280" w14:paraId="61623BF0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05CE56F5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DIRECCIÓN DE ENERGÍA ELÉCTRICA</w:t>
            </w:r>
          </w:p>
        </w:tc>
        <w:tc>
          <w:tcPr>
            <w:tcW w:w="3167" w:type="pct"/>
            <w:noWrap/>
            <w:hideMark/>
          </w:tcPr>
          <w:p w14:paraId="57EAAFAC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Desarrollo de módulo de reportes de subsidios de ZNI</w:t>
            </w:r>
          </w:p>
        </w:tc>
      </w:tr>
      <w:tr w:rsidR="00B62280" w:rsidRPr="00B62280" w14:paraId="21E21B8B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10A259F4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DIRECCIÓN DE ENERGÍA ELÉCTRICA</w:t>
            </w:r>
          </w:p>
        </w:tc>
        <w:tc>
          <w:tcPr>
            <w:tcW w:w="3167" w:type="pct"/>
            <w:noWrap/>
            <w:hideMark/>
          </w:tcPr>
          <w:p w14:paraId="3F61B178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Desarrollo de módulo de Proyecciones de subsidios del FSSRI</w:t>
            </w:r>
          </w:p>
        </w:tc>
      </w:tr>
      <w:tr w:rsidR="00B62280" w:rsidRPr="00B62280" w14:paraId="108ECD31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7A4759E4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DIRECCIÓN DE ENERGÍA ELÉCTRICA</w:t>
            </w:r>
          </w:p>
        </w:tc>
        <w:tc>
          <w:tcPr>
            <w:tcW w:w="3167" w:type="pct"/>
            <w:noWrap/>
            <w:hideMark/>
          </w:tcPr>
          <w:p w14:paraId="1E507B16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Desarrollo de módulo de Proyecciones de subsidios del FOES</w:t>
            </w:r>
          </w:p>
        </w:tc>
      </w:tr>
      <w:tr w:rsidR="00B62280" w:rsidRPr="00B62280" w14:paraId="5664D714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51628E3E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DIRECCIÓN DE ENERGÍA ELÉCTRICA</w:t>
            </w:r>
          </w:p>
        </w:tc>
        <w:tc>
          <w:tcPr>
            <w:tcW w:w="3167" w:type="pct"/>
            <w:noWrap/>
            <w:hideMark/>
          </w:tcPr>
          <w:p w14:paraId="4CF7B844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Proyecto de Resolución ajustado</w:t>
            </w:r>
          </w:p>
        </w:tc>
      </w:tr>
      <w:tr w:rsidR="00B62280" w:rsidRPr="00B62280" w14:paraId="1B17514B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759BF3F4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DIRECCIÓN DE ENERGÍA ELÉCTRICA</w:t>
            </w:r>
          </w:p>
        </w:tc>
        <w:tc>
          <w:tcPr>
            <w:tcW w:w="3167" w:type="pct"/>
            <w:noWrap/>
            <w:hideMark/>
          </w:tcPr>
          <w:p w14:paraId="7AEAC1BC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Resolución formalizada</w:t>
            </w:r>
          </w:p>
        </w:tc>
      </w:tr>
      <w:tr w:rsidR="00B62280" w:rsidRPr="00B62280" w14:paraId="68D4AA14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689677CB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DIRECCIÓN DE ENERGÍA ELÉCTRICA</w:t>
            </w:r>
          </w:p>
        </w:tc>
        <w:tc>
          <w:tcPr>
            <w:tcW w:w="3167" w:type="pct"/>
            <w:noWrap/>
            <w:hideMark/>
          </w:tcPr>
          <w:p w14:paraId="6F7EA6DF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Emitir decreto general FONENERGÍA de acuerdo al  artículo 41 ley 2099 de transición energética</w:t>
            </w:r>
          </w:p>
        </w:tc>
      </w:tr>
      <w:tr w:rsidR="00B62280" w:rsidRPr="00B62280" w14:paraId="236BF29C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418D9EDA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DIRECCIÓN DE ENERGÍA ELÉCTRICA</w:t>
            </w:r>
          </w:p>
        </w:tc>
        <w:tc>
          <w:tcPr>
            <w:tcW w:w="3167" w:type="pct"/>
            <w:noWrap/>
            <w:hideMark/>
          </w:tcPr>
          <w:p w14:paraId="7113E603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 xml:space="preserve">Porcentaje de avance de la consultoría con la que se determinará la hoja de ruta para la </w:t>
            </w:r>
            <w:proofErr w:type="spellStart"/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refocalización</w:t>
            </w:r>
            <w:proofErr w:type="spellEnd"/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 xml:space="preserve"> de subsidios de ZNI.</w:t>
            </w:r>
          </w:p>
        </w:tc>
      </w:tr>
      <w:tr w:rsidR="00B62280" w:rsidRPr="00B62280" w14:paraId="64F5DC5D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7F470556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DIRECCIÓN DE FORMALIZACIÓN MINERA</w:t>
            </w:r>
          </w:p>
        </w:tc>
        <w:tc>
          <w:tcPr>
            <w:tcW w:w="3167" w:type="pct"/>
            <w:noWrap/>
            <w:hideMark/>
          </w:tcPr>
          <w:p w14:paraId="62A4BD0F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Proyectos presentados a través de la convocatoria de incentivo a la producción evaluados.</w:t>
            </w:r>
          </w:p>
        </w:tc>
      </w:tr>
      <w:tr w:rsidR="00B62280" w:rsidRPr="00B62280" w14:paraId="657EDD9B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4713B58D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DIRECCIÓN DE HIDROCARBUROS</w:t>
            </w:r>
          </w:p>
        </w:tc>
        <w:tc>
          <w:tcPr>
            <w:tcW w:w="3167" w:type="pct"/>
            <w:noWrap/>
            <w:hideMark/>
          </w:tcPr>
          <w:p w14:paraId="5A28ACED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Proyecto de resolución del Plan de continuidad y expansión de poliductos elaborado</w:t>
            </w:r>
          </w:p>
        </w:tc>
      </w:tr>
      <w:tr w:rsidR="00B62280" w:rsidRPr="00B62280" w14:paraId="6E565738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4F087786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DIRECCIÓN DE MINERÍA EMPRESARIAL</w:t>
            </w:r>
          </w:p>
        </w:tc>
        <w:tc>
          <w:tcPr>
            <w:tcW w:w="3167" w:type="pct"/>
            <w:noWrap/>
            <w:hideMark/>
          </w:tcPr>
          <w:p w14:paraId="12DE1EF5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 xml:space="preserve">Número Distritos </w:t>
            </w:r>
            <w:proofErr w:type="spellStart"/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metalogénicos</w:t>
            </w:r>
            <w:proofErr w:type="spellEnd"/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 xml:space="preserve"> con conocimiento por parte del SGC y entregados a la ANM</w:t>
            </w:r>
          </w:p>
        </w:tc>
      </w:tr>
      <w:tr w:rsidR="00B62280" w:rsidRPr="00B62280" w14:paraId="2EF21841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015D04B8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GRUPO DE EJECUCIÓN ESTRATÉGICA DEL SECTOR EXTRACTIVO</w:t>
            </w:r>
          </w:p>
        </w:tc>
        <w:tc>
          <w:tcPr>
            <w:tcW w:w="3167" w:type="pct"/>
            <w:noWrap/>
            <w:hideMark/>
          </w:tcPr>
          <w:p w14:paraId="688AC69B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Presentar conjuntamente con MHCP y apoyo del DNP el proyecto de Ley de Presupuesto 2023-2024 ante el Congreso de la República</w:t>
            </w:r>
          </w:p>
        </w:tc>
      </w:tr>
      <w:tr w:rsidR="00B62280" w:rsidRPr="00B62280" w14:paraId="14ECAB6F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189942CB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GRUPO DE RELACIONAMIENTO CON EL CIUDADANO Y GESTIÓN DE LA INFORMACIÓN</w:t>
            </w:r>
          </w:p>
        </w:tc>
        <w:tc>
          <w:tcPr>
            <w:tcW w:w="3167" w:type="pct"/>
            <w:noWrap/>
            <w:hideMark/>
          </w:tcPr>
          <w:p w14:paraId="4AA41CAB" w14:textId="682DC698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Transferencia de información relevante de las entidades adscritas al MME</w:t>
            </w:r>
          </w:p>
        </w:tc>
      </w:tr>
      <w:tr w:rsidR="00B62280" w:rsidRPr="00B62280" w14:paraId="62F98834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56797699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GRUPO DE TECNOLOGÍAS DE INFORMACIÓN Y LAS COMUNICACIONES</w:t>
            </w:r>
          </w:p>
        </w:tc>
        <w:tc>
          <w:tcPr>
            <w:tcW w:w="3167" w:type="pct"/>
            <w:noWrap/>
            <w:hideMark/>
          </w:tcPr>
          <w:p w14:paraId="0CC7AB0B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Documento de Actualización de políticas de seguridad y privacidad de la información del MME</w:t>
            </w:r>
          </w:p>
        </w:tc>
      </w:tr>
      <w:tr w:rsidR="00B62280" w:rsidRPr="00B62280" w14:paraId="577FE88B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19EB3079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OFICINA DE ASUNTOS AMBIENTALES Y SOCIALES</w:t>
            </w:r>
          </w:p>
        </w:tc>
        <w:tc>
          <w:tcPr>
            <w:tcW w:w="3167" w:type="pct"/>
            <w:noWrap/>
            <w:hideMark/>
          </w:tcPr>
          <w:p w14:paraId="6EAF55EA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 xml:space="preserve">Porcentaje de avance frente a la ejecución del segundo dialogo territorial de los PPII en puerto </w:t>
            </w:r>
            <w:proofErr w:type="spellStart"/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wilches</w:t>
            </w:r>
            <w:proofErr w:type="spellEnd"/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 xml:space="preserve"> en la etapa concomitante de los PPII</w:t>
            </w:r>
          </w:p>
        </w:tc>
      </w:tr>
      <w:tr w:rsidR="00B62280" w:rsidRPr="00B62280" w14:paraId="5E819047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6109041F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OFICINA DE ASUNTOS AMBIENTALES Y SOCIALES</w:t>
            </w:r>
          </w:p>
        </w:tc>
        <w:tc>
          <w:tcPr>
            <w:tcW w:w="3167" w:type="pct"/>
            <w:noWrap/>
            <w:hideMark/>
          </w:tcPr>
          <w:p w14:paraId="31EFFB1F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Piloto de implementación de un modelo de información geográfica de la EDRT en territorio priorizado</w:t>
            </w:r>
          </w:p>
        </w:tc>
      </w:tr>
      <w:tr w:rsidR="00B62280" w:rsidRPr="00B62280" w14:paraId="15834169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2B88E097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OFICINA DE PLANEACIÓN Y GESTIÓN INTERNACIONAL</w:t>
            </w:r>
          </w:p>
        </w:tc>
        <w:tc>
          <w:tcPr>
            <w:tcW w:w="3167" w:type="pct"/>
            <w:noWrap/>
            <w:hideMark/>
          </w:tcPr>
          <w:p w14:paraId="3D1CD0CE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Ejecutar ciclo de auditorías internas 2022</w:t>
            </w:r>
          </w:p>
        </w:tc>
      </w:tr>
      <w:tr w:rsidR="00B62280" w:rsidRPr="00B62280" w14:paraId="15316B50" w14:textId="77777777" w:rsidTr="00B62280">
        <w:trPr>
          <w:trHeight w:val="300"/>
        </w:trPr>
        <w:tc>
          <w:tcPr>
            <w:tcW w:w="1833" w:type="pct"/>
            <w:noWrap/>
            <w:hideMark/>
          </w:tcPr>
          <w:p w14:paraId="67711310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OFICINA DE PLANEACIÓN Y GESTIÓN INTERNACIONAL</w:t>
            </w:r>
          </w:p>
        </w:tc>
        <w:tc>
          <w:tcPr>
            <w:tcW w:w="3167" w:type="pct"/>
            <w:noWrap/>
            <w:hideMark/>
          </w:tcPr>
          <w:p w14:paraId="77F5364F" w14:textId="77777777" w:rsidR="00B62280" w:rsidRPr="00B62280" w:rsidRDefault="00B62280" w:rsidP="00B62280">
            <w:pPr>
              <w:rPr>
                <w:rFonts w:ascii="Works sans" w:eastAsia="Times New Roman" w:hAnsi="Works sans" w:cs="Times New Roman"/>
                <w:sz w:val="16"/>
                <w:szCs w:val="16"/>
              </w:rPr>
            </w:pPr>
            <w:r w:rsidRPr="00B62280">
              <w:rPr>
                <w:rFonts w:ascii="Works sans" w:eastAsia="Times New Roman" w:hAnsi="Works sans" w:cs="Times New Roman"/>
                <w:sz w:val="16"/>
                <w:szCs w:val="16"/>
              </w:rPr>
              <w:t>Realizar revisión por la alta dirección</w:t>
            </w:r>
          </w:p>
        </w:tc>
      </w:tr>
    </w:tbl>
    <w:p w14:paraId="573FA8D4" w14:textId="77777777" w:rsidR="00F17237" w:rsidRPr="00B62280" w:rsidRDefault="00F17237" w:rsidP="00B62280">
      <w:pPr>
        <w:pStyle w:val="Ttulo1"/>
        <w:keepLines w:val="0"/>
        <w:spacing w:before="0" w:line="240" w:lineRule="auto"/>
        <w:ind w:left="567" w:hanging="567"/>
        <w:rPr>
          <w:rFonts w:ascii="Work Sans" w:hAnsi="Work Sans"/>
          <w:sz w:val="22"/>
          <w:szCs w:val="32"/>
        </w:rPr>
      </w:pPr>
    </w:p>
    <w:p w14:paraId="18B20921" w14:textId="77777777" w:rsidR="00F17237" w:rsidRPr="00CF1593" w:rsidRDefault="00F17237" w:rsidP="005D10A0">
      <w:pPr>
        <w:jc w:val="both"/>
        <w:rPr>
          <w:rFonts w:ascii="Work Sans" w:eastAsiaTheme="minorHAnsi" w:hAnsi="Work Sans" w:cs="Arial"/>
          <w:b/>
          <w:bCs/>
          <w:sz w:val="24"/>
          <w:szCs w:val="24"/>
          <w:lang w:val="es-CO" w:eastAsia="en-US"/>
        </w:rPr>
      </w:pPr>
    </w:p>
    <w:p w14:paraId="4A2896A7" w14:textId="77777777" w:rsidR="00E96C91" w:rsidRDefault="00E96C91" w:rsidP="00E96C91">
      <w:pPr>
        <w:pStyle w:val="Ttulo1"/>
        <w:keepLines w:val="0"/>
        <w:spacing w:before="0" w:line="240" w:lineRule="auto"/>
        <w:ind w:left="567" w:hanging="567"/>
        <w:jc w:val="center"/>
        <w:rPr>
          <w:rFonts w:ascii="Work Sans" w:hAnsi="Work Sans"/>
          <w:sz w:val="32"/>
          <w:szCs w:val="32"/>
        </w:rPr>
      </w:pPr>
      <w:r w:rsidRPr="00597DDD">
        <w:rPr>
          <w:rFonts w:ascii="Work Sans" w:hAnsi="Work Sans"/>
          <w:sz w:val="32"/>
          <w:szCs w:val="32"/>
        </w:rPr>
        <w:t>DESEMPEÑO DEL SISTEMA DE GESTIÓN</w:t>
      </w:r>
    </w:p>
    <w:p w14:paraId="12285EE2" w14:textId="1BC65F1B" w:rsidR="00E96C91" w:rsidRPr="00452C4A" w:rsidRDefault="00E96C91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 w:rsidRPr="00452C4A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Es importante conocer el desempeño de la gestión del Ministerio, a través del cumplimiento de sus objetivos y procesos, mediante los indicadores formulados por cada una de las dependencias. De tal forma, que se tenga evidencia del comportamiento de </w:t>
      </w:r>
      <w:r w:rsidR="00BE56EA" w:rsidRPr="00452C4A">
        <w:rPr>
          <w:rFonts w:ascii="Work Sans" w:eastAsiaTheme="minorHAnsi" w:hAnsi="Work Sans" w:cs="Arial"/>
          <w:sz w:val="24"/>
          <w:szCs w:val="24"/>
          <w:lang w:val="es-CO" w:eastAsia="en-US"/>
        </w:rPr>
        <w:t>estos</w:t>
      </w:r>
      <w:r w:rsidRPr="00452C4A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y permita tomar decisiones apropiadas y las acciones correspondientes para mejorar el cumplimiento de la misión del Ministerio y alcanzar las metas previstas.</w:t>
      </w:r>
    </w:p>
    <w:p w14:paraId="31CCD241" w14:textId="508F0EDA" w:rsidR="00E96C91" w:rsidRDefault="00C77764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 w:rsidRPr="00EF1FC1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A continuación, </w:t>
      </w:r>
      <w:r w:rsidR="00E96C91" w:rsidRPr="00EF1FC1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se presenta el resultado de los indicadores que evidencian el desempeño del Sistema de Gestión de Calidad del Ministerio con corte a </w:t>
      </w:r>
      <w:r w:rsidR="00754EA6">
        <w:rPr>
          <w:rFonts w:ascii="Work Sans" w:eastAsiaTheme="minorHAnsi" w:hAnsi="Work Sans" w:cs="Arial"/>
          <w:sz w:val="24"/>
          <w:szCs w:val="24"/>
          <w:lang w:val="es-CO" w:eastAsia="en-US"/>
        </w:rPr>
        <w:t>septiembre</w:t>
      </w:r>
      <w:r w:rsidR="00EF1FC1" w:rsidRPr="00EF1FC1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de 2022</w:t>
      </w:r>
      <w:r w:rsidR="00E96C91" w:rsidRPr="00EF1FC1">
        <w:rPr>
          <w:rFonts w:ascii="Work Sans" w:eastAsiaTheme="minorHAnsi" w:hAnsi="Work Sans" w:cs="Arial"/>
          <w:sz w:val="24"/>
          <w:szCs w:val="24"/>
          <w:lang w:val="es-CO" w:eastAsia="en-US"/>
        </w:rPr>
        <w:t>.</w:t>
      </w:r>
    </w:p>
    <w:p w14:paraId="79022328" w14:textId="77777777" w:rsidR="00EC4783" w:rsidRDefault="00EC4783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</w:p>
    <w:p w14:paraId="620BB5CF" w14:textId="77777777" w:rsidR="00EC4783" w:rsidRDefault="00EC4783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</w:p>
    <w:p w14:paraId="764A9ED6" w14:textId="6AD46357" w:rsidR="00EC4783" w:rsidRDefault="00EC4783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</w:p>
    <w:p w14:paraId="70F3E9BA" w14:textId="58086D4B" w:rsidR="00754EA6" w:rsidRDefault="00754EA6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</w:p>
    <w:p w14:paraId="5655C417" w14:textId="50963797" w:rsidR="00754EA6" w:rsidRDefault="00754EA6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</w:p>
    <w:p w14:paraId="2DDF6BBB" w14:textId="63A6E929" w:rsidR="00754EA6" w:rsidRDefault="00754EA6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</w:p>
    <w:p w14:paraId="19AACC66" w14:textId="308B44E1" w:rsidR="00E96C91" w:rsidRPr="00597DDD" w:rsidRDefault="004F7358" w:rsidP="00E96C91">
      <w:pPr>
        <w:rPr>
          <w:rFonts w:ascii="Work Sans" w:hAnsi="Work Sans"/>
          <w:b/>
          <w:sz w:val="32"/>
          <w:szCs w:val="32"/>
        </w:rPr>
      </w:pPr>
      <w:r w:rsidRPr="00597DDD">
        <w:rPr>
          <w:rFonts w:ascii="Work Sans" w:hAnsi="Work Sans"/>
          <w:b/>
          <w:sz w:val="32"/>
          <w:szCs w:val="32"/>
        </w:rPr>
        <w:lastRenderedPageBreak/>
        <w:t>Ejecución</w:t>
      </w:r>
      <w:r w:rsidR="00E96C91" w:rsidRPr="00597DDD">
        <w:rPr>
          <w:rFonts w:ascii="Work Sans" w:hAnsi="Work Sans"/>
          <w:b/>
          <w:sz w:val="32"/>
          <w:szCs w:val="32"/>
        </w:rPr>
        <w:t xml:space="preserve"> </w:t>
      </w:r>
      <w:r w:rsidR="0062293F">
        <w:rPr>
          <w:rFonts w:ascii="Work Sans" w:hAnsi="Work Sans"/>
          <w:b/>
          <w:sz w:val="32"/>
          <w:szCs w:val="32"/>
        </w:rPr>
        <w:t>de o</w:t>
      </w:r>
      <w:r w:rsidR="00984610" w:rsidRPr="00597DDD">
        <w:rPr>
          <w:rFonts w:ascii="Work Sans" w:hAnsi="Work Sans"/>
          <w:b/>
          <w:sz w:val="32"/>
          <w:szCs w:val="32"/>
        </w:rPr>
        <w:t xml:space="preserve">bjetivos </w:t>
      </w:r>
      <w:r w:rsidR="00E96C91" w:rsidRPr="00597DDD">
        <w:rPr>
          <w:rFonts w:ascii="Work Sans" w:hAnsi="Work Sans"/>
          <w:b/>
          <w:sz w:val="32"/>
          <w:szCs w:val="32"/>
        </w:rPr>
        <w:t>por dependencias</w:t>
      </w:r>
    </w:p>
    <w:p w14:paraId="5FD9A704" w14:textId="41B1DE37" w:rsidR="007965E8" w:rsidRDefault="00B652A1" w:rsidP="007965E8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652A1">
        <w:rPr>
          <w:noProof/>
          <w:highlight w:val="black"/>
          <w:shd w:val="clear" w:color="auto" w:fill="000000" w:themeFill="text1"/>
          <w:lang w:val="es-CO"/>
        </w:rPr>
        <w:drawing>
          <wp:inline distT="0" distB="0" distL="0" distR="0" wp14:anchorId="5FA6B401" wp14:editId="4062BC0F">
            <wp:extent cx="4380865" cy="3077570"/>
            <wp:effectExtent l="0" t="0" r="635" b="889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7A788B8-1DE2-4A35-9876-260056552A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  <w:lang w:val="es-CO"/>
        </w:rPr>
        <w:drawing>
          <wp:inline distT="0" distB="0" distL="0" distR="0" wp14:anchorId="68E7BADC" wp14:editId="442A879B">
            <wp:extent cx="4380931" cy="3881755"/>
            <wp:effectExtent l="0" t="0" r="635" b="444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57689269-79E6-4DF0-97CF-A200B28D6E99}"/>
                </a:ext>
                <a:ext uri="{147F2762-F138-4A5C-976F-8EAC2B608ADB}">
                  <a16:predDERef xmlns:a16="http://schemas.microsoft.com/office/drawing/2014/main" pred="{57A788B8-1DE2-4A35-9876-260056552A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E39AA1E" w14:textId="2BD91944" w:rsidR="003C4727" w:rsidRDefault="00315FBC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>
        <w:rPr>
          <w:rFonts w:ascii="Work Sans" w:eastAsiaTheme="minorHAnsi" w:hAnsi="Work Sans" w:cs="Arial"/>
          <w:sz w:val="24"/>
          <w:szCs w:val="24"/>
          <w:lang w:val="es-CO" w:eastAsia="en-US"/>
        </w:rPr>
        <w:t>El</w:t>
      </w:r>
      <w:r w:rsidR="003B0D24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Plan de Acción durante el </w:t>
      </w:r>
      <w:r w:rsidR="003D0446">
        <w:rPr>
          <w:rFonts w:ascii="Work Sans" w:eastAsiaTheme="minorHAnsi" w:hAnsi="Work Sans" w:cs="Arial"/>
          <w:sz w:val="24"/>
          <w:szCs w:val="24"/>
          <w:lang w:val="es-CO" w:eastAsia="en-US"/>
        </w:rPr>
        <w:t>tercer</w:t>
      </w:r>
      <w:r w:rsidR="003B0D24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trimestre alcanzó una ejecución del </w:t>
      </w:r>
      <w:r w:rsidR="00B652A1">
        <w:rPr>
          <w:rFonts w:ascii="Work Sans" w:eastAsiaTheme="minorHAnsi" w:hAnsi="Work Sans" w:cs="Arial"/>
          <w:b/>
          <w:sz w:val="24"/>
          <w:szCs w:val="24"/>
          <w:lang w:val="es-CO" w:eastAsia="en-US"/>
        </w:rPr>
        <w:t>61.7</w:t>
      </w:r>
      <w:r w:rsidR="00EC4783" w:rsidRPr="00597DDD">
        <w:rPr>
          <w:rFonts w:ascii="Work Sans" w:eastAsiaTheme="minorHAnsi" w:hAnsi="Work Sans" w:cs="Arial"/>
          <w:b/>
          <w:sz w:val="24"/>
          <w:szCs w:val="24"/>
          <w:lang w:val="es-CO" w:eastAsia="en-US"/>
        </w:rPr>
        <w:t>%</w:t>
      </w:r>
      <w:r w:rsidR="003B0D24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, </w:t>
      </w:r>
      <w:r w:rsidR="008412DA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la subdirección administrativa y financiera, cumplió la meta de sus indicadores, alcanzando una recuperación de recursos por un valor acumulado de </w:t>
      </w:r>
      <w:r w:rsidR="008412DA">
        <w:rPr>
          <w:color w:val="444444"/>
          <w:shd w:val="clear" w:color="auto" w:fill="FFFFFF"/>
        </w:rPr>
        <w:t>$</w:t>
      </w:r>
      <w:r w:rsidR="008412DA" w:rsidRPr="008412DA">
        <w:rPr>
          <w:rFonts w:ascii="Work Sans" w:eastAsiaTheme="minorHAnsi" w:hAnsi="Work Sans" w:cs="Arial"/>
          <w:sz w:val="24"/>
          <w:szCs w:val="24"/>
          <w:lang w:val="es-CO" w:eastAsia="en-US"/>
        </w:rPr>
        <w:t>11.476.568.887, y el recaudo de expediente también superó</w:t>
      </w:r>
      <w:r w:rsidR="003C4727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el indicador de apertura de expedientes</w:t>
      </w:r>
      <w:r w:rsidR="008412DA" w:rsidRPr="008412DA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, </w:t>
      </w:r>
      <w:r w:rsidR="008412DA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así </w:t>
      </w:r>
      <w:r w:rsidR="00DF7B3C">
        <w:rPr>
          <w:rFonts w:ascii="Work Sans" w:eastAsiaTheme="minorHAnsi" w:hAnsi="Work Sans" w:cs="Arial"/>
          <w:sz w:val="24"/>
          <w:szCs w:val="24"/>
          <w:lang w:val="es-CO" w:eastAsia="en-US"/>
        </w:rPr>
        <w:t>mismo</w:t>
      </w:r>
      <w:r w:rsidR="00646416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el Grupo de Tecnologías de Información y las Comunicaciones</w:t>
      </w:r>
      <w:r w:rsidR="00DF7B3C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han finalizado el </w:t>
      </w:r>
      <w:r w:rsidR="00DF7B3C" w:rsidRPr="00DF7B3C">
        <w:rPr>
          <w:rFonts w:ascii="Work Sans" w:eastAsiaTheme="minorHAnsi" w:hAnsi="Work Sans" w:cs="Arial"/>
          <w:sz w:val="24"/>
          <w:szCs w:val="24"/>
          <w:lang w:val="es-CO" w:eastAsia="en-US"/>
        </w:rPr>
        <w:t>Documentos para la Formulación del Plan Estratégico de las Tecnologías de la Información (PETI) 2024-</w:t>
      </w:r>
      <w:r w:rsidR="00DF7B3C" w:rsidRPr="00DF7B3C">
        <w:rPr>
          <w:rFonts w:ascii="Work Sans" w:eastAsiaTheme="minorHAnsi" w:hAnsi="Work Sans" w:cs="Arial"/>
          <w:sz w:val="24"/>
          <w:szCs w:val="24"/>
          <w:lang w:val="es-CO" w:eastAsia="en-US"/>
        </w:rPr>
        <w:lastRenderedPageBreak/>
        <w:t>2027</w:t>
      </w:r>
      <w:r w:rsidR="00DF7B3C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y el </w:t>
      </w:r>
      <w:r w:rsidR="00DF7B3C" w:rsidRPr="00DF7B3C">
        <w:rPr>
          <w:rFonts w:ascii="Work Sans" w:eastAsiaTheme="minorHAnsi" w:hAnsi="Work Sans" w:cs="Arial"/>
          <w:sz w:val="24"/>
          <w:szCs w:val="24"/>
          <w:lang w:val="es-CO" w:eastAsia="en-US"/>
        </w:rPr>
        <w:t>Documento de Actualización de políticas de seguridad y privacidad de la información del MME</w:t>
      </w:r>
      <w:r w:rsidR="00DF7B3C">
        <w:rPr>
          <w:rFonts w:ascii="Work Sans" w:eastAsiaTheme="minorHAnsi" w:hAnsi="Work Sans" w:cs="Arial"/>
          <w:sz w:val="24"/>
          <w:szCs w:val="24"/>
          <w:lang w:val="es-CO" w:eastAsia="en-US"/>
        </w:rPr>
        <w:t>, otras áreas como la Subdirección de Talento Humano, Oficina de Asuntos Regulatorios y la Unidad de Resultados han contribuido al buen resultado mostrado en este trimestre.</w:t>
      </w:r>
    </w:p>
    <w:p w14:paraId="42AB0145" w14:textId="71158109" w:rsidR="00F028D3" w:rsidRDefault="00F028D3" w:rsidP="00F028D3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>
        <w:rPr>
          <w:rFonts w:ascii="Work Sans" w:eastAsiaTheme="minorHAnsi" w:hAnsi="Work Sans" w:cs="Arial"/>
          <w:sz w:val="24"/>
          <w:szCs w:val="24"/>
          <w:lang w:val="es-CO" w:eastAsia="en-US"/>
        </w:rPr>
        <w:t>Se presenta alerta en la Dirección de Hidrocarburos, los siguientes indicadores de productos tenía que haberse cumplido</w:t>
      </w:r>
      <w:r w:rsidR="00F16828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a septiembre y se encuentran rezagados.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B77A53" w:rsidRPr="00B77A53" w14:paraId="67E09DB3" w14:textId="77777777" w:rsidTr="00F028D3">
        <w:trPr>
          <w:trHeight w:val="235"/>
        </w:trPr>
        <w:tc>
          <w:tcPr>
            <w:tcW w:w="5000" w:type="pct"/>
            <w:noWrap/>
            <w:hideMark/>
          </w:tcPr>
          <w:p w14:paraId="683C2EE9" w14:textId="77777777" w:rsidR="00B77A53" w:rsidRPr="00B77A53" w:rsidRDefault="00B77A53" w:rsidP="00B77A53">
            <w:pPr>
              <w:rPr>
                <w:rFonts w:eastAsia="Times New Roman" w:cs="Times New Roman"/>
                <w:color w:val="000000"/>
              </w:rPr>
            </w:pPr>
            <w:r w:rsidRPr="00B77A53">
              <w:rPr>
                <w:rFonts w:eastAsia="Times New Roman" w:cs="Times New Roman"/>
                <w:color w:val="000000"/>
              </w:rPr>
              <w:t>Inversionista para la planta de regasificación y el gasoducto Buenaventura- Yumbo seleccionado</w:t>
            </w:r>
          </w:p>
        </w:tc>
      </w:tr>
      <w:tr w:rsidR="00B77A53" w:rsidRPr="00B77A53" w14:paraId="634CACD8" w14:textId="77777777" w:rsidTr="00F028D3">
        <w:trPr>
          <w:trHeight w:val="235"/>
        </w:trPr>
        <w:tc>
          <w:tcPr>
            <w:tcW w:w="5000" w:type="pct"/>
            <w:noWrap/>
            <w:hideMark/>
          </w:tcPr>
          <w:p w14:paraId="2F0EBBF0" w14:textId="77777777" w:rsidR="00B77A53" w:rsidRPr="00B77A53" w:rsidRDefault="00B77A53" w:rsidP="00B77A53">
            <w:pPr>
              <w:rPr>
                <w:rFonts w:eastAsia="Times New Roman" w:cs="Times New Roman"/>
                <w:color w:val="000000"/>
              </w:rPr>
            </w:pPr>
            <w:r w:rsidRPr="00B77A53">
              <w:rPr>
                <w:rFonts w:eastAsia="Times New Roman" w:cs="Times New Roman"/>
                <w:color w:val="000000"/>
              </w:rPr>
              <w:t>Proyecto de acto administrativo que establezca Reglamentación Técnica para proyectos de recobro mejorado y producción incremental  o reglamentación operaciones de recobro mejorado (EOR) elaborado.</w:t>
            </w:r>
          </w:p>
        </w:tc>
      </w:tr>
      <w:tr w:rsidR="00B77A53" w:rsidRPr="00B77A53" w14:paraId="18AB995D" w14:textId="77777777" w:rsidTr="00F028D3">
        <w:trPr>
          <w:trHeight w:val="235"/>
        </w:trPr>
        <w:tc>
          <w:tcPr>
            <w:tcW w:w="5000" w:type="pct"/>
            <w:noWrap/>
            <w:hideMark/>
          </w:tcPr>
          <w:p w14:paraId="0F8FBF53" w14:textId="377E3AD1" w:rsidR="00B77A53" w:rsidRPr="00B77A53" w:rsidRDefault="00B77A53" w:rsidP="00B77A53">
            <w:pPr>
              <w:rPr>
                <w:rFonts w:eastAsia="Times New Roman" w:cs="Times New Roman"/>
                <w:color w:val="000000"/>
              </w:rPr>
            </w:pPr>
            <w:r w:rsidRPr="00B77A53">
              <w:rPr>
                <w:rFonts w:eastAsia="Times New Roman" w:cs="Times New Roman"/>
                <w:color w:val="000000"/>
              </w:rPr>
              <w:t xml:space="preserve"> Prueba piloto de </w:t>
            </w:r>
            <w:r w:rsidR="00F028D3" w:rsidRPr="00B77A53">
              <w:rPr>
                <w:rFonts w:eastAsia="Times New Roman" w:cs="Times New Roman"/>
                <w:color w:val="000000"/>
              </w:rPr>
              <w:t>guía</w:t>
            </w:r>
            <w:r w:rsidRPr="00B77A53">
              <w:rPr>
                <w:rFonts w:eastAsia="Times New Roman" w:cs="Times New Roman"/>
                <w:color w:val="000000"/>
              </w:rPr>
              <w:t xml:space="preserve"> digital de transporte de crudo  realizado</w:t>
            </w:r>
          </w:p>
        </w:tc>
      </w:tr>
      <w:tr w:rsidR="00B77A53" w:rsidRPr="00B77A53" w14:paraId="1EC886F4" w14:textId="77777777" w:rsidTr="00F028D3">
        <w:trPr>
          <w:trHeight w:val="235"/>
        </w:trPr>
        <w:tc>
          <w:tcPr>
            <w:tcW w:w="5000" w:type="pct"/>
            <w:noWrap/>
            <w:hideMark/>
          </w:tcPr>
          <w:p w14:paraId="0A273FD5" w14:textId="00FDEC44" w:rsidR="00B77A53" w:rsidRPr="00B77A53" w:rsidRDefault="00B77A53" w:rsidP="00B77A53">
            <w:pPr>
              <w:rPr>
                <w:rFonts w:eastAsia="Times New Roman" w:cs="Times New Roman"/>
                <w:color w:val="000000"/>
              </w:rPr>
            </w:pPr>
            <w:r w:rsidRPr="00B77A53">
              <w:rPr>
                <w:rFonts w:eastAsia="Times New Roman" w:cs="Times New Roman"/>
                <w:color w:val="000000"/>
              </w:rPr>
              <w:t xml:space="preserve">Documento de evaluación de prueba del piloto de la </w:t>
            </w:r>
            <w:r w:rsidR="00F028D3" w:rsidRPr="00B77A53">
              <w:rPr>
                <w:rFonts w:eastAsia="Times New Roman" w:cs="Times New Roman"/>
                <w:color w:val="000000"/>
              </w:rPr>
              <w:t>guía</w:t>
            </w:r>
            <w:r w:rsidRPr="00B77A53">
              <w:rPr>
                <w:rFonts w:eastAsia="Times New Roman" w:cs="Times New Roman"/>
                <w:color w:val="000000"/>
              </w:rPr>
              <w:t xml:space="preserve"> digital de transporte de crudo elaborado</w:t>
            </w:r>
          </w:p>
        </w:tc>
      </w:tr>
      <w:tr w:rsidR="00B77A53" w:rsidRPr="00B77A53" w14:paraId="7D3A5162" w14:textId="77777777" w:rsidTr="00F028D3">
        <w:trPr>
          <w:trHeight w:val="235"/>
        </w:trPr>
        <w:tc>
          <w:tcPr>
            <w:tcW w:w="5000" w:type="pct"/>
            <w:noWrap/>
            <w:hideMark/>
          </w:tcPr>
          <w:p w14:paraId="0DEDF771" w14:textId="77777777" w:rsidR="00B77A53" w:rsidRPr="00B77A53" w:rsidRDefault="00B77A53" w:rsidP="00B77A53">
            <w:pPr>
              <w:rPr>
                <w:rFonts w:eastAsia="Times New Roman" w:cs="Times New Roman"/>
                <w:color w:val="000000"/>
              </w:rPr>
            </w:pPr>
            <w:r w:rsidRPr="00B77A53">
              <w:rPr>
                <w:rFonts w:eastAsia="Times New Roman" w:cs="Times New Roman"/>
                <w:color w:val="000000"/>
              </w:rPr>
              <w:t>Proyecto de Resolución que establezca Reglamento Técnico del programa de calidad QA/QC elaborado</w:t>
            </w:r>
          </w:p>
        </w:tc>
      </w:tr>
      <w:tr w:rsidR="00B77A53" w:rsidRPr="00B77A53" w14:paraId="61DEA495" w14:textId="77777777" w:rsidTr="00F028D3">
        <w:trPr>
          <w:trHeight w:val="235"/>
        </w:trPr>
        <w:tc>
          <w:tcPr>
            <w:tcW w:w="5000" w:type="pct"/>
            <w:noWrap/>
            <w:hideMark/>
          </w:tcPr>
          <w:p w14:paraId="41512AAA" w14:textId="77777777" w:rsidR="00B77A53" w:rsidRPr="00B77A53" w:rsidRDefault="00B77A53" w:rsidP="00B77A53">
            <w:pPr>
              <w:rPr>
                <w:rFonts w:eastAsia="Times New Roman" w:cs="Times New Roman"/>
                <w:color w:val="000000"/>
              </w:rPr>
            </w:pPr>
            <w:r w:rsidRPr="00B77A53">
              <w:rPr>
                <w:rFonts w:eastAsia="Times New Roman" w:cs="Times New Roman"/>
                <w:color w:val="000000"/>
              </w:rPr>
              <w:t>Proyecto de acto administrativo que establezca Regulación de requisitos de agentes de la cadena elaborado</w:t>
            </w:r>
          </w:p>
        </w:tc>
      </w:tr>
      <w:tr w:rsidR="00B77A53" w:rsidRPr="00B77A53" w14:paraId="4333B123" w14:textId="77777777" w:rsidTr="00F028D3">
        <w:trPr>
          <w:trHeight w:val="235"/>
        </w:trPr>
        <w:tc>
          <w:tcPr>
            <w:tcW w:w="5000" w:type="pct"/>
            <w:noWrap/>
            <w:hideMark/>
          </w:tcPr>
          <w:p w14:paraId="355CC664" w14:textId="77777777" w:rsidR="00B77A53" w:rsidRPr="00B77A53" w:rsidRDefault="00B77A53" w:rsidP="00B77A53">
            <w:pPr>
              <w:rPr>
                <w:rFonts w:eastAsia="Times New Roman" w:cs="Times New Roman"/>
                <w:color w:val="000000"/>
              </w:rPr>
            </w:pPr>
            <w:r w:rsidRPr="00B77A53">
              <w:rPr>
                <w:rFonts w:eastAsia="Times New Roman" w:cs="Times New Roman"/>
                <w:color w:val="000000"/>
              </w:rPr>
              <w:t>Convenio de cooperación con fuerza pública suscrito</w:t>
            </w:r>
          </w:p>
        </w:tc>
      </w:tr>
      <w:tr w:rsidR="00B77A53" w:rsidRPr="00B77A53" w14:paraId="1A854169" w14:textId="77777777" w:rsidTr="00F028D3">
        <w:trPr>
          <w:trHeight w:val="235"/>
        </w:trPr>
        <w:tc>
          <w:tcPr>
            <w:tcW w:w="5000" w:type="pct"/>
            <w:noWrap/>
            <w:hideMark/>
          </w:tcPr>
          <w:p w14:paraId="311F5825" w14:textId="6EC45A5C" w:rsidR="00B77A53" w:rsidRPr="00B77A53" w:rsidRDefault="00B77A53" w:rsidP="00B77A53">
            <w:pPr>
              <w:rPr>
                <w:rFonts w:eastAsia="Times New Roman" w:cs="Times New Roman"/>
                <w:color w:val="000000"/>
              </w:rPr>
            </w:pPr>
            <w:r w:rsidRPr="00B77A53">
              <w:rPr>
                <w:rFonts w:eastAsia="Times New Roman" w:cs="Times New Roman"/>
                <w:color w:val="000000"/>
              </w:rPr>
              <w:t xml:space="preserve">Proyecto de acto administrativo para la implementación de un sistema y/o mecanismo de monitoreo </w:t>
            </w:r>
            <w:r w:rsidR="00F028D3" w:rsidRPr="00B77A53">
              <w:rPr>
                <w:rFonts w:eastAsia="Times New Roman" w:cs="Times New Roman"/>
                <w:color w:val="000000"/>
              </w:rPr>
              <w:t>tecnológico</w:t>
            </w:r>
            <w:r w:rsidRPr="00B77A53">
              <w:rPr>
                <w:rFonts w:eastAsia="Times New Roman" w:cs="Times New Roman"/>
                <w:color w:val="000000"/>
              </w:rPr>
              <w:t xml:space="preserve"> al transporte de combustible subsidiado elaborado</w:t>
            </w:r>
          </w:p>
        </w:tc>
      </w:tr>
      <w:tr w:rsidR="00B77A53" w:rsidRPr="00B77A53" w14:paraId="60CF1314" w14:textId="77777777" w:rsidTr="00F028D3">
        <w:trPr>
          <w:trHeight w:val="235"/>
        </w:trPr>
        <w:tc>
          <w:tcPr>
            <w:tcW w:w="5000" w:type="pct"/>
            <w:noWrap/>
            <w:hideMark/>
          </w:tcPr>
          <w:p w14:paraId="052B14F1" w14:textId="77777777" w:rsidR="00B77A53" w:rsidRPr="00B77A53" w:rsidRDefault="00B77A53" w:rsidP="00B77A53">
            <w:pPr>
              <w:rPr>
                <w:rFonts w:eastAsia="Times New Roman" w:cs="Times New Roman"/>
                <w:color w:val="000000"/>
              </w:rPr>
            </w:pPr>
            <w:r w:rsidRPr="00B77A53">
              <w:rPr>
                <w:rFonts w:eastAsia="Times New Roman" w:cs="Times New Roman"/>
                <w:color w:val="000000"/>
              </w:rPr>
              <w:t>Proyecto de reglamentación técnica para el uso alternativo de biocombustibles en la cadena de suministro elaborado</w:t>
            </w:r>
          </w:p>
        </w:tc>
      </w:tr>
      <w:tr w:rsidR="00B77A53" w:rsidRPr="00B77A53" w14:paraId="5B047936" w14:textId="77777777" w:rsidTr="00F028D3">
        <w:trPr>
          <w:trHeight w:val="235"/>
        </w:trPr>
        <w:tc>
          <w:tcPr>
            <w:tcW w:w="5000" w:type="pct"/>
            <w:noWrap/>
            <w:hideMark/>
          </w:tcPr>
          <w:p w14:paraId="031BC295" w14:textId="77777777" w:rsidR="00B77A53" w:rsidRPr="00B77A53" w:rsidRDefault="00B77A53" w:rsidP="00B77A53">
            <w:pPr>
              <w:rPr>
                <w:rFonts w:eastAsia="Times New Roman" w:cs="Times New Roman"/>
                <w:color w:val="000000"/>
              </w:rPr>
            </w:pPr>
            <w:r w:rsidRPr="00B77A53">
              <w:rPr>
                <w:rFonts w:eastAsia="Times New Roman" w:cs="Times New Roman"/>
                <w:color w:val="000000"/>
              </w:rPr>
              <w:t>La contratación de Auditoria de Oleoductos para cada transportador, en la vigencia 2022 efectuada</w:t>
            </w:r>
          </w:p>
        </w:tc>
      </w:tr>
      <w:tr w:rsidR="00B77A53" w:rsidRPr="00B77A53" w14:paraId="1AE481D3" w14:textId="77777777" w:rsidTr="00F028D3">
        <w:trPr>
          <w:trHeight w:val="235"/>
        </w:trPr>
        <w:tc>
          <w:tcPr>
            <w:tcW w:w="5000" w:type="pct"/>
            <w:noWrap/>
            <w:hideMark/>
          </w:tcPr>
          <w:p w14:paraId="55AAF777" w14:textId="11283BC3" w:rsidR="00B77A53" w:rsidRPr="00B77A53" w:rsidRDefault="00B77A53" w:rsidP="00B77A53">
            <w:pPr>
              <w:rPr>
                <w:rFonts w:eastAsia="Times New Roman" w:cs="Times New Roman"/>
                <w:color w:val="000000"/>
              </w:rPr>
            </w:pPr>
            <w:r w:rsidRPr="00B77A53">
              <w:rPr>
                <w:rFonts w:eastAsia="Times New Roman" w:cs="Times New Roman"/>
                <w:color w:val="000000"/>
              </w:rPr>
              <w:t xml:space="preserve">Seguimiento y control a los informes de </w:t>
            </w:r>
            <w:r w:rsidR="00F028D3" w:rsidRPr="00B77A53">
              <w:rPr>
                <w:rFonts w:eastAsia="Times New Roman" w:cs="Times New Roman"/>
                <w:color w:val="000000"/>
              </w:rPr>
              <w:t>Auditoria para</w:t>
            </w:r>
            <w:r w:rsidRPr="00B77A53">
              <w:rPr>
                <w:rFonts w:eastAsia="Times New Roman" w:cs="Times New Roman"/>
                <w:color w:val="000000"/>
              </w:rPr>
              <w:t xml:space="preserve"> cada transportador. realizada</w:t>
            </w:r>
          </w:p>
        </w:tc>
      </w:tr>
      <w:tr w:rsidR="00B77A53" w:rsidRPr="00B77A53" w14:paraId="201A3E59" w14:textId="77777777" w:rsidTr="00F028D3">
        <w:trPr>
          <w:trHeight w:val="235"/>
        </w:trPr>
        <w:tc>
          <w:tcPr>
            <w:tcW w:w="5000" w:type="pct"/>
            <w:noWrap/>
            <w:hideMark/>
          </w:tcPr>
          <w:p w14:paraId="4B553D37" w14:textId="77777777" w:rsidR="00B77A53" w:rsidRPr="00B77A53" w:rsidRDefault="00B77A53" w:rsidP="00B77A53">
            <w:pPr>
              <w:rPr>
                <w:rFonts w:eastAsia="Times New Roman" w:cs="Times New Roman"/>
                <w:color w:val="000000"/>
              </w:rPr>
            </w:pPr>
            <w:r w:rsidRPr="00B77A53">
              <w:rPr>
                <w:rFonts w:eastAsia="Times New Roman" w:cs="Times New Roman"/>
                <w:color w:val="000000"/>
              </w:rPr>
              <w:t>Proyecto de Resolución con lineamientos de contratos de agentes de la cadena elaborado</w:t>
            </w:r>
          </w:p>
        </w:tc>
      </w:tr>
    </w:tbl>
    <w:p w14:paraId="20437206" w14:textId="77777777" w:rsidR="00F028D3" w:rsidRDefault="00F028D3" w:rsidP="00F028D3">
      <w:pPr>
        <w:rPr>
          <w:rFonts w:ascii="Work Sans" w:hAnsi="Work Sans"/>
          <w:b/>
          <w:sz w:val="28"/>
          <w:szCs w:val="28"/>
        </w:rPr>
      </w:pPr>
    </w:p>
    <w:p w14:paraId="6303AEFB" w14:textId="60A475AE" w:rsidR="002D2AEC" w:rsidRDefault="00E96C91" w:rsidP="00F028D3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F028D3">
        <w:rPr>
          <w:rFonts w:ascii="Work Sans" w:hAnsi="Work Sans"/>
          <w:b/>
          <w:sz w:val="32"/>
          <w:szCs w:val="32"/>
        </w:rPr>
        <w:lastRenderedPageBreak/>
        <w:t xml:space="preserve">Ejecución por </w:t>
      </w:r>
      <w:r w:rsidR="0062293F" w:rsidRPr="00F028D3">
        <w:rPr>
          <w:rFonts w:ascii="Work Sans" w:hAnsi="Work Sans"/>
          <w:b/>
          <w:sz w:val="32"/>
          <w:szCs w:val="32"/>
        </w:rPr>
        <w:t>p</w:t>
      </w:r>
      <w:r w:rsidR="00CA5EE6" w:rsidRPr="00F028D3">
        <w:rPr>
          <w:rFonts w:ascii="Work Sans" w:hAnsi="Work Sans"/>
          <w:b/>
          <w:sz w:val="32"/>
          <w:szCs w:val="32"/>
        </w:rPr>
        <w:t>rocesos</w:t>
      </w:r>
      <w:r w:rsidR="00F028D3">
        <w:rPr>
          <w:rFonts w:ascii="Work Sans" w:hAnsi="Work Sans"/>
          <w:b/>
          <w:sz w:val="32"/>
          <w:szCs w:val="32"/>
        </w:rPr>
        <w:t xml:space="preserve"> </w:t>
      </w:r>
      <w:r w:rsidR="00F028D3">
        <w:rPr>
          <w:noProof/>
          <w:lang w:val="es-CO"/>
        </w:rPr>
        <w:drawing>
          <wp:inline distT="0" distB="0" distL="0" distR="0" wp14:anchorId="3249DDCD" wp14:editId="247E33AB">
            <wp:extent cx="5305425" cy="3364173"/>
            <wp:effectExtent l="0" t="0" r="9525" b="8255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766F9F33-7E38-2C12-8F2F-2F90EB8BA5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0B25AD1" w14:textId="77777777" w:rsidR="00C77764" w:rsidRPr="002D2AEC" w:rsidRDefault="00C77764" w:rsidP="002D2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14:paraId="5FFF4743" w14:textId="7A5EC6C3" w:rsidR="00F028D3" w:rsidRDefault="00F028D3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>
        <w:rPr>
          <w:rFonts w:ascii="Work Sans" w:eastAsiaTheme="minorHAnsi" w:hAnsi="Work Sans" w:cs="Arial"/>
          <w:sz w:val="24"/>
          <w:szCs w:val="24"/>
          <w:lang w:val="es-CO" w:eastAsia="en-US"/>
        </w:rPr>
        <w:t>La ejecución promedio general de los procesos alcanzó un porcentaje del 56%, e</w:t>
      </w:r>
      <w:r w:rsidR="009803A0">
        <w:rPr>
          <w:rFonts w:ascii="Work Sans" w:eastAsiaTheme="minorHAnsi" w:hAnsi="Work Sans" w:cs="Arial"/>
          <w:sz w:val="24"/>
          <w:szCs w:val="24"/>
          <w:lang w:val="es-CO" w:eastAsia="en-US"/>
        </w:rPr>
        <w:t>l proceso</w:t>
      </w:r>
      <w:r w:rsidR="00B222DB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de </w:t>
      </w:r>
      <w:r>
        <w:rPr>
          <w:rFonts w:ascii="Work Sans" w:eastAsiaTheme="minorHAnsi" w:hAnsi="Work Sans" w:cs="Arial"/>
          <w:sz w:val="24"/>
          <w:szCs w:val="24"/>
          <w:lang w:val="es-CO" w:eastAsia="en-US"/>
        </w:rPr>
        <w:t>Gestión Internacional refleja una alta ejecución debido a que</w:t>
      </w:r>
      <w:r w:rsidR="00D64A8E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se han incrementado las solicitudes de Cooperación Internacional y las participaciones en eventos internacionales</w:t>
      </w:r>
      <w:r w:rsidR="00977BA7">
        <w:rPr>
          <w:rFonts w:ascii="Work Sans" w:eastAsiaTheme="minorHAnsi" w:hAnsi="Work Sans" w:cs="Arial"/>
          <w:sz w:val="24"/>
          <w:szCs w:val="24"/>
          <w:lang w:val="es-CO" w:eastAsia="en-US"/>
        </w:rPr>
        <w:t>. Los procesos de Servicio al Ciudadano y Control Interno Disciplinario, vienen cumpliendo con la ejecución de sus productos</w:t>
      </w:r>
      <w:r w:rsidR="00A67CBF">
        <w:rPr>
          <w:rFonts w:ascii="Work Sans" w:eastAsiaTheme="minorHAnsi" w:hAnsi="Work Sans" w:cs="Arial"/>
          <w:sz w:val="24"/>
          <w:szCs w:val="24"/>
          <w:lang w:val="es-CO" w:eastAsia="en-US"/>
        </w:rPr>
        <w:t>.</w:t>
      </w:r>
    </w:p>
    <w:p w14:paraId="447F42BA" w14:textId="27A5B056" w:rsidR="00EC1E72" w:rsidRDefault="00EC1E72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>
        <w:rPr>
          <w:rFonts w:ascii="Work Sans" w:eastAsiaTheme="minorHAnsi" w:hAnsi="Work Sans" w:cs="Arial"/>
          <w:sz w:val="24"/>
          <w:szCs w:val="24"/>
          <w:lang w:val="es-CO" w:eastAsia="en-US"/>
        </w:rPr>
        <w:t>Analizando el comportamiento de ejecución de los procesos, se evidencia una buena ejecución, teniendo en cuenta lo programado v</w:t>
      </w:r>
      <w:r w:rsidR="00F43423">
        <w:rPr>
          <w:rFonts w:ascii="Work Sans" w:eastAsiaTheme="minorHAnsi" w:hAnsi="Work Sans" w:cs="Arial"/>
          <w:sz w:val="24"/>
          <w:szCs w:val="24"/>
          <w:lang w:val="es-CO" w:eastAsia="en-US"/>
        </w:rPr>
        <w:t>e</w:t>
      </w:r>
      <w:r>
        <w:rPr>
          <w:rFonts w:ascii="Work Sans" w:eastAsiaTheme="minorHAnsi" w:hAnsi="Work Sans" w:cs="Arial"/>
          <w:sz w:val="24"/>
          <w:szCs w:val="24"/>
          <w:lang w:val="es-CO" w:eastAsia="en-US"/>
        </w:rPr>
        <w:t>rs</w:t>
      </w:r>
      <w:r w:rsidR="00F43423">
        <w:rPr>
          <w:rFonts w:ascii="Work Sans" w:eastAsiaTheme="minorHAnsi" w:hAnsi="Work Sans" w:cs="Arial"/>
          <w:sz w:val="24"/>
          <w:szCs w:val="24"/>
          <w:lang w:val="es-CO" w:eastAsia="en-US"/>
        </w:rPr>
        <w:t>us</w:t>
      </w:r>
      <w:r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lo ejecutado con corte al </w:t>
      </w:r>
      <w:r w:rsidR="00FE16CE">
        <w:rPr>
          <w:rFonts w:ascii="Work Sans" w:eastAsiaTheme="minorHAnsi" w:hAnsi="Work Sans" w:cs="Arial"/>
          <w:sz w:val="24"/>
          <w:szCs w:val="24"/>
          <w:lang w:val="es-CO" w:eastAsia="en-US"/>
        </w:rPr>
        <w:t>tercer</w:t>
      </w:r>
      <w:r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</w:t>
      </w:r>
      <w:r w:rsidR="00FE16CE">
        <w:rPr>
          <w:rFonts w:ascii="Work Sans" w:eastAsiaTheme="minorHAnsi" w:hAnsi="Work Sans" w:cs="Arial"/>
          <w:sz w:val="24"/>
          <w:szCs w:val="24"/>
          <w:lang w:val="es-CO" w:eastAsia="en-US"/>
        </w:rPr>
        <w:t>trimestre</w:t>
      </w:r>
      <w:r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del año</w:t>
      </w:r>
    </w:p>
    <w:p w14:paraId="44FB0946" w14:textId="46B8A8AC" w:rsidR="00952698" w:rsidRDefault="00E96C91" w:rsidP="00E96C91">
      <w:pPr>
        <w:jc w:val="both"/>
        <w:rPr>
          <w:rFonts w:ascii="Work Sans" w:hAnsi="Work Sans"/>
          <w:b/>
          <w:sz w:val="32"/>
          <w:szCs w:val="32"/>
        </w:rPr>
      </w:pPr>
      <w:r w:rsidRPr="002A4053">
        <w:rPr>
          <w:rFonts w:ascii="Work Sans" w:hAnsi="Work Sans"/>
          <w:b/>
          <w:sz w:val="32"/>
          <w:szCs w:val="32"/>
        </w:rPr>
        <w:t xml:space="preserve">Ejecución por Tipo </w:t>
      </w:r>
      <w:r w:rsidRPr="0024779C">
        <w:rPr>
          <w:rFonts w:ascii="Work Sans" w:hAnsi="Work Sans"/>
          <w:b/>
          <w:sz w:val="32"/>
          <w:szCs w:val="32"/>
        </w:rPr>
        <w:t>de Indicadores</w:t>
      </w:r>
    </w:p>
    <w:p w14:paraId="352BB12A" w14:textId="1D2AC58A" w:rsidR="00FE16CE" w:rsidRDefault="00FE16CE" w:rsidP="00E96C91">
      <w:pPr>
        <w:jc w:val="both"/>
        <w:rPr>
          <w:rFonts w:ascii="Work Sans" w:hAnsi="Work Sans"/>
          <w:b/>
          <w:sz w:val="32"/>
          <w:szCs w:val="32"/>
        </w:rPr>
      </w:pPr>
      <w:r>
        <w:rPr>
          <w:rFonts w:ascii="Work Sans" w:hAnsi="Work Sans"/>
          <w:b/>
          <w:sz w:val="32"/>
          <w:szCs w:val="32"/>
        </w:rPr>
        <w:t xml:space="preserve">      </w:t>
      </w:r>
      <w:r>
        <w:rPr>
          <w:noProof/>
          <w:lang w:val="es-CO"/>
        </w:rPr>
        <w:drawing>
          <wp:inline distT="0" distB="0" distL="0" distR="0" wp14:anchorId="48AA344D" wp14:editId="6958F761">
            <wp:extent cx="4606119" cy="2224405"/>
            <wp:effectExtent l="0" t="0" r="4445" b="4445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94A8381F-D1D6-AF34-3DA1-40249C16C6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1C1E3D5" w14:textId="151C52EA" w:rsidR="00EA589E" w:rsidRPr="002A4053" w:rsidRDefault="00EA589E" w:rsidP="00E96C91">
      <w:pPr>
        <w:jc w:val="both"/>
        <w:rPr>
          <w:rFonts w:ascii="Work Sans" w:hAnsi="Work Sans"/>
          <w:b/>
          <w:sz w:val="32"/>
          <w:szCs w:val="32"/>
        </w:rPr>
      </w:pPr>
    </w:p>
    <w:p w14:paraId="20048D68" w14:textId="30656B03" w:rsidR="003132E3" w:rsidRDefault="003132E3" w:rsidP="00E96C91">
      <w:pPr>
        <w:jc w:val="both"/>
        <w:rPr>
          <w:rFonts w:ascii="Work Sans" w:eastAsiaTheme="minorHAnsi" w:hAnsi="Work Sans" w:cs="Arial"/>
          <w:color w:val="FF0000"/>
          <w:sz w:val="24"/>
          <w:szCs w:val="24"/>
          <w:lang w:val="es-CO" w:eastAsia="en-US"/>
        </w:rPr>
      </w:pPr>
      <w:r w:rsidRPr="00AD456C">
        <w:rPr>
          <w:rFonts w:ascii="Work Sans" w:eastAsiaTheme="minorHAnsi" w:hAnsi="Work Sans" w:cs="Arial"/>
          <w:sz w:val="24"/>
          <w:szCs w:val="24"/>
          <w:lang w:val="es-CO" w:eastAsia="en-US"/>
        </w:rPr>
        <w:lastRenderedPageBreak/>
        <w:t xml:space="preserve">De los 291 indicadores formulados en el Plan de Acción, 53 de ellos se clasificaron como indicadores de Efectividad, </w:t>
      </w:r>
      <w:r w:rsidR="00AD456C" w:rsidRPr="00AD456C">
        <w:rPr>
          <w:rFonts w:ascii="Work Sans" w:eastAsiaTheme="minorHAnsi" w:hAnsi="Work Sans" w:cs="Arial"/>
          <w:sz w:val="24"/>
          <w:szCs w:val="24"/>
          <w:lang w:val="es-CO" w:eastAsia="en-US"/>
        </w:rPr>
        <w:t>las áreas</w:t>
      </w:r>
      <w:r w:rsidRPr="00AD456C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que aportan a </w:t>
      </w:r>
      <w:r w:rsidR="00AD456C" w:rsidRPr="00AD456C">
        <w:rPr>
          <w:rFonts w:ascii="Work Sans" w:eastAsiaTheme="minorHAnsi" w:hAnsi="Work Sans" w:cs="Arial"/>
          <w:sz w:val="24"/>
          <w:szCs w:val="24"/>
          <w:lang w:val="es-CO" w:eastAsia="en-US"/>
        </w:rPr>
        <w:t>su cumplimiento</w:t>
      </w:r>
      <w:r w:rsidRPr="00AD456C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son: Dirección</w:t>
      </w:r>
      <w:r w:rsidR="00AD456C" w:rsidRPr="00AD456C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</w:t>
      </w:r>
      <w:r w:rsidRPr="00AD456C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de Hidrocarburos con dos indicadores, </w:t>
      </w:r>
      <w:r w:rsidR="00AD456C" w:rsidRPr="00AD456C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Minería Empresaria con cinco indicadores, Comunicaciones y Prensa con </w:t>
      </w:r>
      <w:r w:rsidR="00494541">
        <w:rPr>
          <w:rFonts w:ascii="Work Sans" w:eastAsiaTheme="minorHAnsi" w:hAnsi="Work Sans" w:cs="Arial"/>
          <w:sz w:val="24"/>
          <w:szCs w:val="24"/>
          <w:lang w:val="es-CO" w:eastAsia="en-US"/>
        </w:rPr>
        <w:t>once</w:t>
      </w:r>
      <w:r w:rsidR="00AD456C" w:rsidRPr="00AD456C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, Gestión Financiera con dos, Relacionamiento con el Ciudadano cinco, Tecnología </w:t>
      </w:r>
      <w:r w:rsidR="00103CFB" w:rsidRPr="00AD456C">
        <w:rPr>
          <w:rFonts w:ascii="Work Sans" w:eastAsiaTheme="minorHAnsi" w:hAnsi="Work Sans" w:cs="Arial"/>
          <w:sz w:val="24"/>
          <w:szCs w:val="24"/>
          <w:lang w:val="es-CO" w:eastAsia="en-US"/>
        </w:rPr>
        <w:t>de Información</w:t>
      </w:r>
      <w:r w:rsidR="00AD456C" w:rsidRPr="00AD456C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cinco, Oficina de Asuntos Ambientales </w:t>
      </w:r>
      <w:r w:rsidR="00494541">
        <w:rPr>
          <w:rFonts w:ascii="Work Sans" w:eastAsiaTheme="minorHAnsi" w:hAnsi="Work Sans" w:cs="Arial"/>
          <w:sz w:val="24"/>
          <w:szCs w:val="24"/>
          <w:lang w:val="es-CO" w:eastAsia="en-US"/>
        </w:rPr>
        <w:t>veinte y uno</w:t>
      </w:r>
      <w:r w:rsidR="00AD456C" w:rsidRPr="00AD456C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y subdirección Administrativa </w:t>
      </w:r>
      <w:r w:rsidR="00494541">
        <w:rPr>
          <w:rFonts w:ascii="Work Sans" w:eastAsiaTheme="minorHAnsi" w:hAnsi="Work Sans" w:cs="Arial"/>
          <w:sz w:val="24"/>
          <w:szCs w:val="24"/>
          <w:lang w:val="es-CO" w:eastAsia="en-US"/>
        </w:rPr>
        <w:t>con dos.</w:t>
      </w:r>
    </w:p>
    <w:p w14:paraId="20376337" w14:textId="4BA19BAD" w:rsidR="008F4EB6" w:rsidRDefault="003132E3" w:rsidP="00E96C91">
      <w:pPr>
        <w:jc w:val="both"/>
        <w:rPr>
          <w:rFonts w:ascii="Work Sans" w:hAnsi="Work Sans"/>
          <w:b/>
          <w:sz w:val="32"/>
          <w:szCs w:val="32"/>
        </w:rPr>
      </w:pPr>
      <w:r>
        <w:rPr>
          <w:rFonts w:ascii="Work Sans" w:eastAsiaTheme="minorHAnsi" w:hAnsi="Work Sans" w:cs="Arial"/>
          <w:color w:val="FF0000"/>
          <w:sz w:val="24"/>
          <w:szCs w:val="24"/>
          <w:lang w:val="es-CO" w:eastAsia="en-US"/>
        </w:rPr>
        <w:t xml:space="preserve">  </w:t>
      </w:r>
      <w:r w:rsidR="0093458D">
        <w:rPr>
          <w:rFonts w:ascii="Work Sans" w:hAnsi="Work Sans"/>
          <w:b/>
          <w:sz w:val="32"/>
          <w:szCs w:val="32"/>
        </w:rPr>
        <w:t>Ejecución por Niveles de Proceso</w:t>
      </w:r>
    </w:p>
    <w:p w14:paraId="07E60469" w14:textId="63F5D9D0" w:rsidR="008F4EB6" w:rsidRPr="00EA589E" w:rsidRDefault="00627592" w:rsidP="00E96C91">
      <w:pPr>
        <w:jc w:val="both"/>
        <w:rPr>
          <w:rFonts w:ascii="Work Sans" w:hAnsi="Work Sans"/>
          <w:b/>
          <w:color w:val="FF0000"/>
          <w:sz w:val="32"/>
          <w:szCs w:val="32"/>
        </w:rPr>
      </w:pPr>
      <w:r>
        <w:rPr>
          <w:rFonts w:ascii="Work Sans" w:hAnsi="Work Sans"/>
          <w:b/>
          <w:color w:val="FF0000"/>
          <w:sz w:val="32"/>
          <w:szCs w:val="32"/>
        </w:rPr>
        <w:t xml:space="preserve">      </w:t>
      </w:r>
      <w:r>
        <w:rPr>
          <w:noProof/>
          <w:lang w:val="es-CO"/>
        </w:rPr>
        <w:drawing>
          <wp:inline distT="0" distB="0" distL="0" distR="0" wp14:anchorId="07752000" wp14:editId="347B9406">
            <wp:extent cx="4572000" cy="2466975"/>
            <wp:effectExtent l="0" t="0" r="0" b="9525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DF22D74E-3C0C-5B51-FE12-7C56986F57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A554353" w14:textId="4C0E48D0" w:rsidR="00EA63F6" w:rsidRPr="00542851" w:rsidRDefault="00EA63F6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 w:rsidRPr="00542851">
        <w:rPr>
          <w:rFonts w:ascii="Work Sans" w:eastAsiaTheme="minorHAnsi" w:hAnsi="Work Sans" w:cs="Arial"/>
          <w:sz w:val="24"/>
          <w:szCs w:val="24"/>
          <w:lang w:val="es-CO" w:eastAsia="en-US"/>
        </w:rPr>
        <w:t>Se destaca e</w:t>
      </w:r>
      <w:r w:rsidR="00021E46" w:rsidRPr="00542851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l desempeño de ejecución </w:t>
      </w:r>
      <w:r w:rsidRPr="00542851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del nivel de proceso Especiales, </w:t>
      </w:r>
      <w:r w:rsidR="00021E46" w:rsidRPr="00542851">
        <w:rPr>
          <w:rFonts w:ascii="Work Sans" w:eastAsiaTheme="minorHAnsi" w:hAnsi="Work Sans" w:cs="Arial"/>
          <w:sz w:val="24"/>
          <w:szCs w:val="24"/>
          <w:lang w:val="es-CO" w:eastAsia="en-US"/>
        </w:rPr>
        <w:t>de los indicadores de</w:t>
      </w:r>
      <w:r w:rsidRPr="00542851">
        <w:rPr>
          <w:rFonts w:ascii="Work Sans" w:eastAsiaTheme="minorHAnsi" w:hAnsi="Work Sans" w:cs="Arial"/>
          <w:sz w:val="24"/>
          <w:szCs w:val="24"/>
          <w:lang w:val="es-CO" w:eastAsia="en-US"/>
        </w:rPr>
        <w:t>l</w:t>
      </w:r>
      <w:r w:rsidR="00021E46" w:rsidRPr="00542851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Grupo de Relacionamiento con el </w:t>
      </w:r>
      <w:r w:rsidR="002F4895">
        <w:rPr>
          <w:rFonts w:ascii="Work Sans" w:eastAsiaTheme="minorHAnsi" w:hAnsi="Work Sans" w:cs="Arial"/>
          <w:sz w:val="24"/>
          <w:szCs w:val="24"/>
          <w:lang w:val="es-CO" w:eastAsia="en-US"/>
        </w:rPr>
        <w:t>Servicio al C</w:t>
      </w:r>
      <w:r w:rsidR="00021E46" w:rsidRPr="00542851">
        <w:rPr>
          <w:rFonts w:ascii="Work Sans" w:eastAsiaTheme="minorHAnsi" w:hAnsi="Work Sans" w:cs="Arial"/>
          <w:sz w:val="24"/>
          <w:szCs w:val="24"/>
          <w:lang w:val="es-CO" w:eastAsia="en-US"/>
        </w:rPr>
        <w:t>iudadano</w:t>
      </w:r>
      <w:r w:rsidRPr="00542851">
        <w:rPr>
          <w:rFonts w:ascii="Work Sans" w:eastAsiaTheme="minorHAnsi" w:hAnsi="Work Sans" w:cs="Arial"/>
          <w:sz w:val="24"/>
          <w:szCs w:val="24"/>
          <w:lang w:val="es-CO" w:eastAsia="en-US"/>
        </w:rPr>
        <w:t>, viene aportando al cumplimiento a través de los productos ¨</w:t>
      </w:r>
      <w:r w:rsidRPr="00542851">
        <w:rPr>
          <w:rFonts w:ascii="Work Sans" w:eastAsiaTheme="minorHAnsi" w:hAnsi="Work Sans" w:cs="Arial"/>
          <w:i/>
          <w:sz w:val="24"/>
          <w:szCs w:val="24"/>
          <w:lang w:val="es-CO" w:eastAsia="en-US"/>
        </w:rPr>
        <w:t>Espacios de dialogo al exterior de la entidad y Temática identificada para la construcción en lenguaje claro</w:t>
      </w:r>
      <w:r w:rsidRPr="00542851">
        <w:rPr>
          <w:rFonts w:ascii="Work Sans" w:eastAsiaTheme="minorHAnsi" w:hAnsi="Work Sans" w:cs="Arial"/>
          <w:sz w:val="24"/>
          <w:szCs w:val="24"/>
          <w:lang w:val="es-CO" w:eastAsia="en-US"/>
        </w:rPr>
        <w:t>¨, logrando la culminación de la recopilación,  diseño y publicación del informe de Gestión 2021-2022, adicionalmente se muestra la finalización de la ¨</w:t>
      </w:r>
      <w:r w:rsidRPr="00542851">
        <w:rPr>
          <w:rFonts w:ascii="Work Sans" w:eastAsiaTheme="minorHAnsi" w:hAnsi="Work Sans" w:cs="Arial"/>
          <w:i/>
          <w:sz w:val="24"/>
          <w:szCs w:val="24"/>
          <w:lang w:val="es-CO" w:eastAsia="en-US"/>
        </w:rPr>
        <w:t>Temática identificada para la construcción en lenguaje claro</w:t>
      </w:r>
      <w:r w:rsidRPr="00542851">
        <w:rPr>
          <w:rFonts w:ascii="Work Sans" w:eastAsiaTheme="minorHAnsi" w:hAnsi="Work Sans" w:cs="Arial"/>
          <w:sz w:val="24"/>
          <w:szCs w:val="24"/>
          <w:lang w:val="es-CO" w:eastAsia="en-US"/>
        </w:rPr>
        <w:t>¨</w:t>
      </w:r>
    </w:p>
    <w:p w14:paraId="74A930F9" w14:textId="315121E8" w:rsidR="00542851" w:rsidRPr="00542851" w:rsidRDefault="00542851" w:rsidP="00E96C91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 w:rsidRPr="00542851">
        <w:rPr>
          <w:rFonts w:ascii="Work Sans" w:eastAsiaTheme="minorHAnsi" w:hAnsi="Work Sans" w:cs="Arial"/>
          <w:sz w:val="24"/>
          <w:szCs w:val="24"/>
          <w:lang w:val="es-CO" w:eastAsia="en-US"/>
        </w:rPr>
        <w:t>El Grupo de Asuntos Legislativo influye también al logro de este resultado, realizando los seguimientos y requerimientos de control Político del Congreso basados en la Ley 5 de 1992</w:t>
      </w:r>
    </w:p>
    <w:p w14:paraId="13FD7469" w14:textId="4A036249" w:rsidR="00EA63F6" w:rsidRPr="00EA63F6" w:rsidRDefault="009803A0" w:rsidP="00E96C91">
      <w:pPr>
        <w:jc w:val="both"/>
        <w:rPr>
          <w:rFonts w:ascii="Work Sans" w:eastAsiaTheme="minorHAnsi" w:hAnsi="Work Sans" w:cs="Arial"/>
          <w:color w:val="FF0000"/>
          <w:sz w:val="24"/>
          <w:szCs w:val="24"/>
          <w:lang w:val="es-CO" w:eastAsia="en-US"/>
        </w:rPr>
      </w:pPr>
      <w:r w:rsidRPr="00542851">
        <w:rPr>
          <w:rFonts w:ascii="Work Sans" w:eastAsiaTheme="minorHAnsi" w:hAnsi="Work Sans" w:cs="Arial"/>
          <w:sz w:val="24"/>
          <w:szCs w:val="24"/>
          <w:lang w:val="es-CO" w:eastAsia="en-US"/>
        </w:rPr>
        <w:t>Igualmente,</w:t>
      </w:r>
      <w:r w:rsidR="00542851" w:rsidRPr="00542851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el nivel de proceso </w:t>
      </w:r>
      <w:r w:rsidR="00542851" w:rsidRPr="00542851">
        <w:rPr>
          <w:rFonts w:ascii="Work Sans" w:eastAsiaTheme="minorHAnsi" w:hAnsi="Work Sans" w:cs="Arial"/>
          <w:i/>
          <w:sz w:val="24"/>
          <w:szCs w:val="24"/>
          <w:lang w:val="es-CO" w:eastAsia="en-US"/>
        </w:rPr>
        <w:t>Evaluación y Control</w:t>
      </w:r>
      <w:r w:rsidR="00542851" w:rsidRPr="00542851">
        <w:rPr>
          <w:rFonts w:ascii="Work Sans" w:eastAsiaTheme="minorHAnsi" w:hAnsi="Work Sans" w:cs="Arial"/>
          <w:sz w:val="24"/>
          <w:szCs w:val="24"/>
          <w:lang w:val="es-CO" w:eastAsia="en-US"/>
        </w:rPr>
        <w:t>, aportan para su cumplimiento las áreas de Oficina de Control Interno y Oficina de Control Interno Disciplinario</w:t>
      </w:r>
      <w:r w:rsidR="00542851">
        <w:rPr>
          <w:rFonts w:ascii="Work Sans" w:eastAsiaTheme="minorHAnsi" w:hAnsi="Work Sans" w:cs="Arial"/>
          <w:color w:val="FF0000"/>
          <w:sz w:val="24"/>
          <w:szCs w:val="24"/>
          <w:lang w:val="es-CO" w:eastAsia="en-US"/>
        </w:rPr>
        <w:t>.</w:t>
      </w:r>
    </w:p>
    <w:p w14:paraId="1A1F37A2" w14:textId="77777777" w:rsidR="00B23177" w:rsidRDefault="00B23177" w:rsidP="00E96C91">
      <w:pPr>
        <w:jc w:val="both"/>
        <w:rPr>
          <w:rFonts w:ascii="Work Sans" w:hAnsi="Work Sans"/>
          <w:b/>
          <w:sz w:val="32"/>
          <w:szCs w:val="32"/>
        </w:rPr>
      </w:pPr>
    </w:p>
    <w:p w14:paraId="7DAE4734" w14:textId="77777777" w:rsidR="00B23177" w:rsidRDefault="00B23177" w:rsidP="00E96C91">
      <w:pPr>
        <w:jc w:val="both"/>
        <w:rPr>
          <w:rFonts w:ascii="Work Sans" w:hAnsi="Work Sans"/>
          <w:b/>
          <w:sz w:val="32"/>
          <w:szCs w:val="32"/>
        </w:rPr>
      </w:pPr>
    </w:p>
    <w:p w14:paraId="711775EA" w14:textId="77777777" w:rsidR="00B23177" w:rsidRDefault="00B23177" w:rsidP="00E96C91">
      <w:pPr>
        <w:jc w:val="both"/>
        <w:rPr>
          <w:rFonts w:ascii="Work Sans" w:hAnsi="Work Sans"/>
          <w:b/>
          <w:sz w:val="32"/>
          <w:szCs w:val="32"/>
        </w:rPr>
      </w:pPr>
    </w:p>
    <w:p w14:paraId="787D364D" w14:textId="77777777" w:rsidR="00B23177" w:rsidRDefault="00B23177" w:rsidP="00E96C91">
      <w:pPr>
        <w:jc w:val="both"/>
        <w:rPr>
          <w:rFonts w:ascii="Work Sans" w:hAnsi="Work Sans"/>
          <w:b/>
          <w:sz w:val="32"/>
          <w:szCs w:val="32"/>
        </w:rPr>
      </w:pPr>
    </w:p>
    <w:p w14:paraId="78686768" w14:textId="6522860B" w:rsidR="00E96C91" w:rsidRPr="002A4053" w:rsidRDefault="00E96C91" w:rsidP="00E96C91">
      <w:pPr>
        <w:jc w:val="both"/>
        <w:rPr>
          <w:rFonts w:ascii="Work Sans" w:hAnsi="Work Sans"/>
          <w:b/>
          <w:sz w:val="32"/>
          <w:szCs w:val="32"/>
        </w:rPr>
      </w:pPr>
      <w:r w:rsidRPr="002A4053">
        <w:rPr>
          <w:rFonts w:ascii="Work Sans" w:hAnsi="Work Sans"/>
          <w:b/>
          <w:sz w:val="32"/>
          <w:szCs w:val="32"/>
        </w:rPr>
        <w:lastRenderedPageBreak/>
        <w:t>Objetivos de Calidad</w:t>
      </w:r>
    </w:p>
    <w:p w14:paraId="5853FC56" w14:textId="009D34B5" w:rsidR="00E96C91" w:rsidRDefault="007E7879" w:rsidP="00E96C91">
      <w:pPr>
        <w:jc w:val="both"/>
        <w:rPr>
          <w:rFonts w:ascii="Work Sans" w:hAnsi="Work Sans"/>
          <w:b/>
          <w:color w:val="3164C9"/>
          <w:sz w:val="32"/>
          <w:szCs w:val="32"/>
        </w:rPr>
      </w:pPr>
      <w:r>
        <w:rPr>
          <w:noProof/>
          <w:lang w:val="es-CO"/>
        </w:rPr>
        <w:drawing>
          <wp:inline distT="0" distB="0" distL="0" distR="0" wp14:anchorId="29FBB7FB" wp14:editId="5A4BE088">
            <wp:extent cx="5400040" cy="2620645"/>
            <wp:effectExtent l="0" t="0" r="10160" b="8255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2D4A6318-B2A2-E054-678F-586AB76A9F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AC2257D" w14:textId="1855C586" w:rsidR="002C4370" w:rsidRDefault="00E96C91" w:rsidP="009A03C5">
      <w:pPr>
        <w:jc w:val="both"/>
        <w:rPr>
          <w:rFonts w:ascii="Work Sans" w:eastAsiaTheme="minorHAnsi" w:hAnsi="Work Sans" w:cs="Arial"/>
          <w:sz w:val="24"/>
          <w:szCs w:val="24"/>
          <w:lang w:val="es-CO" w:eastAsia="en-US"/>
        </w:rPr>
      </w:pPr>
      <w:r w:rsidRPr="002F4895">
        <w:rPr>
          <w:rFonts w:ascii="Work Sans" w:eastAsiaTheme="minorHAnsi" w:hAnsi="Work Sans" w:cs="Arial"/>
          <w:sz w:val="24"/>
          <w:szCs w:val="24"/>
          <w:lang w:val="es-CO" w:eastAsia="en-US"/>
        </w:rPr>
        <w:t>Lo</w:t>
      </w:r>
      <w:r w:rsidR="008F4EB6" w:rsidRPr="002F4895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s Objetivos de Calidad, </w:t>
      </w:r>
      <w:r w:rsidRPr="002F4895">
        <w:rPr>
          <w:rFonts w:ascii="Work Sans" w:eastAsiaTheme="minorHAnsi" w:hAnsi="Work Sans" w:cs="Arial"/>
          <w:sz w:val="24"/>
          <w:szCs w:val="24"/>
          <w:lang w:val="es-CO" w:eastAsia="en-US"/>
        </w:rPr>
        <w:t>permiten que se cumplan la política de calidad del Ministerio</w:t>
      </w:r>
      <w:r w:rsidRPr="002F4895">
        <w:rPr>
          <w:rStyle w:val="Refdenotaalfinal"/>
          <w:rFonts w:ascii="Work Sans" w:eastAsiaTheme="minorHAnsi" w:hAnsi="Work Sans" w:cs="Arial"/>
          <w:sz w:val="24"/>
          <w:szCs w:val="24"/>
          <w:lang w:val="es-CO" w:eastAsia="en-US"/>
        </w:rPr>
        <w:endnoteReference w:id="1"/>
      </w:r>
      <w:r w:rsidRPr="002F4895">
        <w:rPr>
          <w:rFonts w:ascii="Work Sans" w:eastAsiaTheme="minorHAnsi" w:hAnsi="Work Sans" w:cs="Arial"/>
          <w:sz w:val="24"/>
          <w:szCs w:val="24"/>
          <w:lang w:val="es-CO" w:eastAsia="en-US"/>
        </w:rPr>
        <w:t>,  y se evidencia que el objetivo ¨</w:t>
      </w:r>
      <w:r w:rsidR="002F4895" w:rsidRPr="002F4895">
        <w:t xml:space="preserve"> </w:t>
      </w:r>
      <w:r w:rsidR="00A71940" w:rsidRPr="00A71940">
        <w:rPr>
          <w:rFonts w:ascii="Work Sans" w:eastAsiaTheme="minorHAnsi" w:hAnsi="Work Sans" w:cs="Arial"/>
          <w:i/>
          <w:sz w:val="24"/>
          <w:szCs w:val="24"/>
          <w:lang w:val="es-CO" w:eastAsia="en-US"/>
        </w:rPr>
        <w:t>Garantizar la administración eficiente y oportuna de los recursos financieros, administrativos y tecnológicos para el cumplimiento de los fines de la entidad con criterios de austeridad y transparencia</w:t>
      </w:r>
      <w:r w:rsidR="008F4EB6" w:rsidRPr="002F4895">
        <w:rPr>
          <w:rFonts w:ascii="Work Sans" w:eastAsiaTheme="minorHAnsi" w:hAnsi="Work Sans" w:cs="Arial"/>
          <w:i/>
          <w:sz w:val="24"/>
          <w:szCs w:val="24"/>
          <w:lang w:val="es-CO" w:eastAsia="en-US"/>
        </w:rPr>
        <w:t xml:space="preserve">, </w:t>
      </w:r>
      <w:r w:rsidR="00A71940" w:rsidRPr="00A71940">
        <w:rPr>
          <w:rFonts w:ascii="Work Sans" w:eastAsiaTheme="minorHAnsi" w:hAnsi="Work Sans" w:cs="Arial"/>
          <w:sz w:val="24"/>
          <w:szCs w:val="24"/>
          <w:lang w:val="es-CO" w:eastAsia="en-US"/>
        </w:rPr>
        <w:t>presenta</w:t>
      </w:r>
      <w:r w:rsidR="00A71940">
        <w:rPr>
          <w:rFonts w:ascii="Work Sans" w:eastAsiaTheme="minorHAnsi" w:hAnsi="Work Sans" w:cs="Arial"/>
          <w:i/>
          <w:sz w:val="24"/>
          <w:szCs w:val="24"/>
          <w:lang w:val="es-CO" w:eastAsia="en-US"/>
        </w:rPr>
        <w:t xml:space="preserve"> </w:t>
      </w:r>
      <w:r w:rsidR="002F4895" w:rsidRPr="002F4895">
        <w:rPr>
          <w:rFonts w:ascii="Work Sans" w:eastAsiaTheme="minorHAnsi" w:hAnsi="Work Sans" w:cs="Arial"/>
          <w:sz w:val="24"/>
          <w:szCs w:val="24"/>
          <w:lang w:val="es-CO" w:eastAsia="en-US"/>
        </w:rPr>
        <w:t>el resultado</w:t>
      </w:r>
      <w:r w:rsidR="008F4EB6" w:rsidRPr="002F4895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 </w:t>
      </w:r>
      <w:r w:rsidR="00A71940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más alto, debido </w:t>
      </w:r>
      <w:r w:rsidR="002F4895" w:rsidRPr="002F4895">
        <w:rPr>
          <w:rFonts w:ascii="Work Sans" w:eastAsiaTheme="minorHAnsi" w:hAnsi="Work Sans" w:cs="Arial"/>
          <w:sz w:val="24"/>
          <w:szCs w:val="24"/>
          <w:lang w:val="es-CO" w:eastAsia="en-US"/>
        </w:rPr>
        <w:t xml:space="preserve">la labor que viene realizando </w:t>
      </w:r>
      <w:r w:rsidR="00A71940">
        <w:rPr>
          <w:rFonts w:ascii="Work Sans" w:eastAsiaTheme="minorHAnsi" w:hAnsi="Work Sans" w:cs="Arial"/>
          <w:sz w:val="24"/>
          <w:szCs w:val="24"/>
          <w:lang w:val="es-CO" w:eastAsia="en-US"/>
        </w:rPr>
        <w:t>los procesos de apoyo</w:t>
      </w:r>
      <w:r w:rsidR="002F4895" w:rsidRPr="002F4895">
        <w:rPr>
          <w:rFonts w:ascii="Work Sans" w:eastAsiaTheme="minorHAnsi" w:hAnsi="Work Sans" w:cs="Arial"/>
          <w:sz w:val="24"/>
          <w:szCs w:val="24"/>
          <w:lang w:val="es-CO" w:eastAsia="en-US"/>
        </w:rPr>
        <w:t>.</w:t>
      </w:r>
    </w:p>
    <w:p w14:paraId="305DAEB6" w14:textId="2624B2CA" w:rsidR="004F371E" w:rsidRDefault="0003218A" w:rsidP="00952698">
      <w:pPr>
        <w:jc w:val="both"/>
        <w:rPr>
          <w:rFonts w:ascii="Work Sans" w:hAnsi="Work Sans"/>
          <w:b/>
          <w:sz w:val="32"/>
          <w:szCs w:val="32"/>
        </w:rPr>
      </w:pPr>
      <w:r w:rsidRPr="0003218A">
        <w:rPr>
          <w:rFonts w:ascii="Work Sans" w:hAnsi="Work Sans"/>
          <w:b/>
          <w:sz w:val="32"/>
          <w:szCs w:val="32"/>
        </w:rPr>
        <w:t>Conclusiones Generales</w:t>
      </w:r>
    </w:p>
    <w:p w14:paraId="61675046" w14:textId="7549082F" w:rsidR="008F23FF" w:rsidRPr="009A03C5" w:rsidRDefault="008F23FF" w:rsidP="008F23FF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Work Sans" w:eastAsia="Calibri" w:hAnsi="Work Sans" w:cs="Arial"/>
          <w:lang w:val="es-ES"/>
        </w:rPr>
      </w:pPr>
      <w:r w:rsidRPr="009A03C5">
        <w:rPr>
          <w:rFonts w:ascii="Work Sans" w:eastAsia="Calibri" w:hAnsi="Work Sans" w:cs="Arial"/>
          <w:lang w:val="es-ES"/>
        </w:rPr>
        <w:t xml:space="preserve">Los registros mensuales correspondientes a los avances del plan de acción deben indicarse </w:t>
      </w:r>
      <w:r w:rsidR="009A03C5" w:rsidRPr="009A03C5">
        <w:rPr>
          <w:rFonts w:ascii="Work Sans" w:eastAsia="Calibri" w:hAnsi="Work Sans" w:cs="Arial"/>
          <w:lang w:val="es-ES"/>
        </w:rPr>
        <w:t>de forma consistentes entre nombre del indicador, objetivo, formato, unidad de medida, Tipo o medio de evidencia.</w:t>
      </w:r>
    </w:p>
    <w:p w14:paraId="5BC194CB" w14:textId="77777777" w:rsidR="0003218A" w:rsidRPr="0003218A" w:rsidRDefault="0003218A" w:rsidP="000F5BCF">
      <w:pPr>
        <w:pStyle w:val="xmsonormal"/>
        <w:shd w:val="clear" w:color="auto" w:fill="FFFFFF"/>
        <w:spacing w:before="0" w:beforeAutospacing="0" w:after="0" w:afterAutospacing="0"/>
        <w:ind w:left="766"/>
        <w:jc w:val="both"/>
        <w:rPr>
          <w:rFonts w:ascii="Work Sans" w:eastAsia="Calibri" w:hAnsi="Work Sans" w:cs="Arial"/>
          <w:lang w:val="es-ES"/>
        </w:rPr>
      </w:pPr>
    </w:p>
    <w:p w14:paraId="118377E0" w14:textId="1E8F32F0" w:rsidR="0003218A" w:rsidRDefault="0003218A" w:rsidP="000F5BCF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Work Sans" w:eastAsia="Calibri" w:hAnsi="Work Sans" w:cs="Arial"/>
          <w:lang w:val="es-ES"/>
        </w:rPr>
      </w:pPr>
      <w:r w:rsidRPr="0003218A">
        <w:rPr>
          <w:rFonts w:ascii="Work Sans" w:eastAsia="Calibri" w:hAnsi="Work Sans" w:cs="Arial"/>
          <w:lang w:val="es-ES"/>
        </w:rPr>
        <w:t>Las evidencias deben ser consistentes, claras y precisas acordes con el objetivo y formato preestablecido en su formulación de tal forma que soporten el nivel de ejecución y cumplimiento de las metas de los indicadores.</w:t>
      </w:r>
    </w:p>
    <w:p w14:paraId="6BEF7C36" w14:textId="77777777" w:rsidR="00021E46" w:rsidRDefault="00021E46" w:rsidP="00021E46">
      <w:pPr>
        <w:pStyle w:val="Prrafodelista"/>
        <w:rPr>
          <w:rFonts w:ascii="Work Sans" w:hAnsi="Work Sans" w:cs="Arial"/>
        </w:rPr>
      </w:pPr>
    </w:p>
    <w:p w14:paraId="7A4DBD8F" w14:textId="030A9304" w:rsidR="004F371E" w:rsidRDefault="004F371E" w:rsidP="00622A56">
      <w:pPr>
        <w:spacing w:after="0"/>
        <w:jc w:val="both"/>
        <w:rPr>
          <w:rFonts w:ascii="Work Sans" w:eastAsiaTheme="minorHAnsi" w:hAnsi="Work Sans" w:cs="Arial"/>
          <w:szCs w:val="24"/>
          <w:lang w:val="es-CO" w:eastAsia="en-US"/>
        </w:rPr>
      </w:pPr>
      <w:r>
        <w:rPr>
          <w:rFonts w:ascii="Work Sans" w:eastAsiaTheme="minorHAnsi" w:hAnsi="Work Sans" w:cs="Arial"/>
          <w:szCs w:val="24"/>
          <w:lang w:val="es-CO" w:eastAsia="en-US"/>
        </w:rPr>
        <w:t>Elaboró:</w:t>
      </w:r>
    </w:p>
    <w:p w14:paraId="5FE16684" w14:textId="08D38E3E" w:rsidR="004F371E" w:rsidRDefault="004F371E" w:rsidP="00622A56">
      <w:pPr>
        <w:spacing w:after="0"/>
        <w:jc w:val="both"/>
        <w:rPr>
          <w:rFonts w:ascii="Work Sans" w:eastAsiaTheme="minorHAnsi" w:hAnsi="Work Sans" w:cs="Arial"/>
          <w:szCs w:val="24"/>
          <w:lang w:val="es-CO" w:eastAsia="en-US"/>
        </w:rPr>
      </w:pPr>
      <w:r>
        <w:rPr>
          <w:rFonts w:ascii="Work Sans" w:eastAsiaTheme="minorHAnsi" w:hAnsi="Work Sans" w:cs="Arial"/>
          <w:szCs w:val="24"/>
          <w:lang w:val="es-CO" w:eastAsia="en-US"/>
        </w:rPr>
        <w:t>Álvaro Peña – Edgar Jácome</w:t>
      </w:r>
    </w:p>
    <w:p w14:paraId="6086752B" w14:textId="7A9D80C1" w:rsidR="009A03C5" w:rsidRDefault="009A03C5" w:rsidP="00622A56">
      <w:pPr>
        <w:spacing w:after="0"/>
        <w:jc w:val="both"/>
        <w:rPr>
          <w:rFonts w:ascii="Work Sans" w:eastAsiaTheme="minorHAnsi" w:hAnsi="Work Sans" w:cs="Arial"/>
          <w:szCs w:val="24"/>
          <w:lang w:val="es-CO" w:eastAsia="en-US"/>
        </w:rPr>
      </w:pPr>
      <w:r>
        <w:rPr>
          <w:rFonts w:ascii="Work Sans" w:eastAsiaTheme="minorHAnsi" w:hAnsi="Work Sans" w:cs="Arial"/>
          <w:szCs w:val="24"/>
          <w:lang w:val="es-CO" w:eastAsia="en-US"/>
        </w:rPr>
        <w:t>Grupo de Gestión y Seguimiento Sectorial</w:t>
      </w:r>
    </w:p>
    <w:p w14:paraId="62746C52" w14:textId="2149D587" w:rsidR="004F371E" w:rsidRDefault="004F371E" w:rsidP="00622A56">
      <w:pPr>
        <w:spacing w:after="0"/>
        <w:jc w:val="both"/>
        <w:rPr>
          <w:rFonts w:ascii="Work Sans" w:eastAsiaTheme="minorHAnsi" w:hAnsi="Work Sans" w:cs="Arial"/>
          <w:szCs w:val="24"/>
          <w:lang w:val="es-CO" w:eastAsia="en-US"/>
        </w:rPr>
      </w:pPr>
      <w:r>
        <w:rPr>
          <w:rFonts w:ascii="Work Sans" w:eastAsiaTheme="minorHAnsi" w:hAnsi="Work Sans" w:cs="Arial"/>
          <w:szCs w:val="24"/>
          <w:lang w:val="es-CO" w:eastAsia="en-US"/>
        </w:rPr>
        <w:t>Oficina de Planeación y Gestión Internacional</w:t>
      </w:r>
    </w:p>
    <w:p w14:paraId="422921D7" w14:textId="77777777" w:rsidR="001152FE" w:rsidRDefault="001152FE" w:rsidP="00622A56">
      <w:pPr>
        <w:spacing w:after="0"/>
        <w:jc w:val="both"/>
        <w:rPr>
          <w:rFonts w:ascii="Work Sans" w:eastAsiaTheme="minorHAnsi" w:hAnsi="Work Sans" w:cs="Arial"/>
          <w:szCs w:val="24"/>
          <w:lang w:val="es-CO" w:eastAsia="en-US"/>
        </w:rPr>
      </w:pPr>
    </w:p>
    <w:p w14:paraId="5E0B62DC" w14:textId="77777777" w:rsidR="009E6428" w:rsidRDefault="009E6428" w:rsidP="00E96C91">
      <w:pPr>
        <w:pStyle w:val="Textoindependiente"/>
        <w:jc w:val="left"/>
        <w:rPr>
          <w:rFonts w:ascii="Work Sans" w:eastAsiaTheme="minorHAnsi" w:hAnsi="Work Sans" w:cs="Arial"/>
          <w:sz w:val="16"/>
          <w:szCs w:val="16"/>
          <w:lang w:val="es-CO" w:eastAsia="en-US"/>
        </w:rPr>
      </w:pPr>
    </w:p>
    <w:p w14:paraId="28747798" w14:textId="77777777" w:rsidR="009E6428" w:rsidRDefault="009E6428" w:rsidP="00E96C91">
      <w:pPr>
        <w:pStyle w:val="Textoindependiente"/>
        <w:jc w:val="left"/>
        <w:rPr>
          <w:rFonts w:ascii="Work Sans" w:eastAsiaTheme="minorHAnsi" w:hAnsi="Work Sans" w:cs="Arial"/>
          <w:sz w:val="16"/>
          <w:szCs w:val="16"/>
          <w:lang w:val="es-CO" w:eastAsia="en-US"/>
        </w:rPr>
      </w:pPr>
    </w:p>
    <w:p w14:paraId="46759CAD" w14:textId="77777777" w:rsidR="009E6428" w:rsidRDefault="009E6428" w:rsidP="00E96C91">
      <w:pPr>
        <w:pStyle w:val="Textoindependiente"/>
        <w:jc w:val="left"/>
        <w:rPr>
          <w:rFonts w:ascii="Work Sans" w:eastAsiaTheme="minorHAnsi" w:hAnsi="Work Sans" w:cs="Arial"/>
          <w:sz w:val="16"/>
          <w:szCs w:val="16"/>
          <w:lang w:val="es-CO" w:eastAsia="en-US"/>
        </w:rPr>
      </w:pPr>
    </w:p>
    <w:p w14:paraId="08F7B8EF" w14:textId="5C2AF0EC" w:rsidR="00E96C91" w:rsidRPr="001152FE" w:rsidRDefault="007D23E2" w:rsidP="00E96C91">
      <w:pPr>
        <w:pStyle w:val="Textoindependiente"/>
        <w:jc w:val="left"/>
        <w:rPr>
          <w:rFonts w:ascii="Work Sans" w:eastAsiaTheme="minorHAnsi" w:hAnsi="Work Sans" w:cs="Arial"/>
          <w:sz w:val="16"/>
          <w:szCs w:val="16"/>
          <w:lang w:val="es-CO" w:eastAsia="en-US"/>
        </w:rPr>
      </w:pPr>
      <w:r>
        <w:rPr>
          <w:rFonts w:ascii="Work Sans" w:eastAsiaTheme="minorHAnsi" w:hAnsi="Work Sans" w:cs="Arial"/>
          <w:sz w:val="16"/>
          <w:szCs w:val="16"/>
          <w:lang w:val="es-CO" w:eastAsia="en-US"/>
        </w:rPr>
        <w:t>Septiembre</w:t>
      </w:r>
      <w:r w:rsidR="00B50428">
        <w:rPr>
          <w:rFonts w:ascii="Work Sans" w:eastAsiaTheme="minorHAnsi" w:hAnsi="Work Sans" w:cs="Arial"/>
          <w:sz w:val="16"/>
          <w:szCs w:val="16"/>
          <w:lang w:val="es-CO" w:eastAsia="en-US"/>
        </w:rPr>
        <w:t xml:space="preserve"> -</w:t>
      </w:r>
      <w:r w:rsidR="001152FE" w:rsidRPr="001152FE">
        <w:rPr>
          <w:rFonts w:ascii="Work Sans" w:eastAsiaTheme="minorHAnsi" w:hAnsi="Work Sans" w:cs="Arial"/>
          <w:sz w:val="16"/>
          <w:szCs w:val="16"/>
          <w:lang w:val="es-CO" w:eastAsia="en-US"/>
        </w:rPr>
        <w:t>2022</w:t>
      </w:r>
    </w:p>
    <w:sectPr w:rsidR="00E96C91" w:rsidRPr="001152FE" w:rsidSect="00003CB8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9BC52" w14:textId="77777777" w:rsidR="000D5116" w:rsidRDefault="000D5116" w:rsidP="00003CB8">
      <w:pPr>
        <w:spacing w:after="0" w:line="240" w:lineRule="auto"/>
      </w:pPr>
      <w:r>
        <w:separator/>
      </w:r>
    </w:p>
  </w:endnote>
  <w:endnote w:type="continuationSeparator" w:id="0">
    <w:p w14:paraId="025D6EA9" w14:textId="77777777" w:rsidR="000D5116" w:rsidRDefault="000D5116" w:rsidP="00003CB8">
      <w:pPr>
        <w:spacing w:after="0" w:line="240" w:lineRule="auto"/>
      </w:pPr>
      <w:r>
        <w:continuationSeparator/>
      </w:r>
    </w:p>
  </w:endnote>
  <w:endnote w:id="1">
    <w:p w14:paraId="60311698" w14:textId="77777777" w:rsidR="008E69FF" w:rsidRPr="00BF4544" w:rsidRDefault="008E69FF" w:rsidP="009E64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14"/>
          <w:szCs w:val="14"/>
          <w:lang w:val="es-CO"/>
        </w:rPr>
      </w:pPr>
      <w:r>
        <w:rPr>
          <w:rStyle w:val="Refdenotaalfinal"/>
        </w:rPr>
        <w:endnoteRef/>
      </w:r>
      <w:r>
        <w:t xml:space="preserve"> </w:t>
      </w:r>
      <w:r w:rsidRPr="00BF4544">
        <w:rPr>
          <w:rFonts w:ascii="Helvetica" w:eastAsia="Times New Roman" w:hAnsi="Helvetica" w:cs="Helvetica"/>
          <w:color w:val="333333"/>
          <w:sz w:val="14"/>
          <w:szCs w:val="14"/>
          <w:lang w:val="es-CO"/>
        </w:rPr>
        <w:t>El Ministerio de Minas y Energía establece su compromiso con el aprovechamiento sostenible de los recursos mineros y energéticos en el territorio nacional mediante la formulación y adopción de políticas, regulaciones y reglamentaciones que satisfagan las necesidades de los ciudadanos, partes interesadas y el cumplimiento de los requerimientos constitucionales, legales y normativos.</w:t>
      </w:r>
    </w:p>
    <w:p w14:paraId="563CAD5E" w14:textId="67661BD6" w:rsidR="008E69FF" w:rsidRPr="00BF4544" w:rsidRDefault="008E69FF" w:rsidP="00E96C91">
      <w:pPr>
        <w:pStyle w:val="Textonotaalfinal"/>
        <w:rPr>
          <w:lang w:val="es-CO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00000001" w:usb1="5000E07B" w:usb2="00000000" w:usb3="00000000" w:csb0="00000193" w:csb1="00000000"/>
  </w:font>
  <w:font w:name="Works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798609"/>
      <w:docPartObj>
        <w:docPartGallery w:val="Page Numbers (Bottom of Page)"/>
        <w:docPartUnique/>
      </w:docPartObj>
    </w:sdtPr>
    <w:sdtEndPr/>
    <w:sdtContent>
      <w:p w14:paraId="4C6681B4" w14:textId="21AA760A" w:rsidR="008E69FF" w:rsidRDefault="008E69F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B1B">
          <w:rPr>
            <w:noProof/>
          </w:rPr>
          <w:t>3</w:t>
        </w:r>
        <w:r>
          <w:fldChar w:fldCharType="end"/>
        </w:r>
      </w:p>
    </w:sdtContent>
  </w:sdt>
  <w:p w14:paraId="138AB7BA" w14:textId="77777777" w:rsidR="008E69FF" w:rsidRDefault="008E69FF" w:rsidP="00003CB8">
    <w:pPr>
      <w:pStyle w:val="Piedepgina"/>
      <w:tabs>
        <w:tab w:val="clear" w:pos="4419"/>
        <w:tab w:val="clear" w:pos="8838"/>
        <w:tab w:val="center" w:pos="42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89067" w14:textId="77777777" w:rsidR="000D5116" w:rsidRDefault="000D5116" w:rsidP="00003CB8">
      <w:pPr>
        <w:spacing w:after="0" w:line="240" w:lineRule="auto"/>
      </w:pPr>
      <w:r>
        <w:separator/>
      </w:r>
    </w:p>
  </w:footnote>
  <w:footnote w:type="continuationSeparator" w:id="0">
    <w:p w14:paraId="50E551D5" w14:textId="77777777" w:rsidR="000D5116" w:rsidRDefault="000D5116" w:rsidP="00003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210FB" w14:textId="3F41EC69" w:rsidR="008E69FF" w:rsidRDefault="00865F9F">
    <w:pPr>
      <w:pStyle w:val="Encabezado"/>
    </w:pPr>
    <w:r>
      <w:rPr>
        <w:noProof/>
        <w:lang w:val="es-CO"/>
      </w:rPr>
      <w:drawing>
        <wp:inline distT="0" distB="0" distL="0" distR="0" wp14:anchorId="5F17616B" wp14:editId="24C5F830">
          <wp:extent cx="1457325" cy="466090"/>
          <wp:effectExtent l="0" t="0" r="9525" b="0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9307" cy="466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55A8E">
      <w:rPr>
        <w:noProof/>
        <w:lang w:val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89245" wp14:editId="1573A46A">
              <wp:simplePos x="0" y="0"/>
              <wp:positionH relativeFrom="page">
                <wp:align>right</wp:align>
              </wp:positionH>
              <wp:positionV relativeFrom="paragraph">
                <wp:posOffset>-316230</wp:posOffset>
              </wp:positionV>
              <wp:extent cx="7537836" cy="323850"/>
              <wp:effectExtent l="0" t="0" r="6350" b="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7836" cy="323850"/>
                      </a:xfrm>
                      <a:prstGeom prst="rect">
                        <a:avLst/>
                      </a:prstGeom>
                      <a:solidFill>
                        <a:srgbClr val="1F91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9F0CE5" id="Rectángulo 12" o:spid="_x0000_s1026" style="position:absolute;margin-left:542.35pt;margin-top:-24.9pt;width:593.5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5QHoQIAAIkFAAAOAAAAZHJzL2Uyb0RvYy54bWysVEtuGzEM3RfoHQTtm/EnzsfIODASuCgQ&#10;JEGSImtZI3kG0IgqJXvs3qZn6cVKaT5J06CLol7Iokg+km9IXlzua8N2Cn0FNufjoxFnykooKrvJ&#10;+den1aczznwQthAGrMr5QXl+ufj44aJxczWBEkyhkBGI9fPG5bwMwc2zzMtS1cIfgVOWlBqwFoFE&#10;3GQFiobQa5NNRqOTrAEsHIJU3tPrdavki4SvtZLhTmuvAjM5p9xCOjGd63hmiwsx36BwZSW7NMQ/&#10;ZFGLylLQAepaBMG2WP0BVVcSwYMORxLqDLSupEo1UDXj0ZtqHkvhVKqFyPFuoMn/P1h5u7tHVhX0&#10;7SacWVHTN3og1n7+sJutAUavRFHj/JwsH909dpKna6x3r7GO/1QJ2ydaDwOtah+YpMfT2fT0bHrC&#10;mSTddDI9myXesxdvhz58VlCzeMk5UgKJTbG78YEikmlvEoN5MFWxqoxJAm7WVwbZTtAnHq/Oxyfn&#10;MWVy+c3M2GhsIbq16viSxcraWtItHIyKdsY+KE20UPaTlElqSDXEEVIqG8atqhSFasPPRvTro8cW&#10;jh4plwQYkTXFH7A7gN6yBemx2yw7++iqUj8PzqO/JdY6Dx4pMtgwONeVBXwPwFBVXeTWvieppSay&#10;tIbiQE2D0E6Td3JV0Xe7ET7cC6TxoUGjlRDu6NAGmpxDd+OsBPz+3nu0p64mLWcNjWPO/betQMWZ&#10;+WKp38/Hx8dxfpNwPDudkICvNevXGrutryC2Ay0fJ9M12gfTXzVC/UybYxmjkkpYSbFzLgP2wlVo&#10;1wTtHqmWy2RGM+tEuLGPTkbwyGrsy6f9s0DXNW+gtr+FfnTF/E0Pt7bR08JyG0BXqcFfeO34pnlP&#10;jdPtprhQXsvJ6mWDLn4BAAD//wMAUEsDBBQABgAIAAAAIQA9dq2q3QAAAAcBAAAPAAAAZHJzL2Rv&#10;d25yZXYueG1sTI/BTsMwEETvSPyDtUjcWicRlDaNUyEE4gASovQDtvE2iYjXUeymoV/P9gS3Wc1q&#10;5k2xmVynRhpC69lAOk9AEVfetlwb2H29zJagQkS22HkmAz8UYFNeXxWYW3/iTxq3sVYSwiFHA02M&#10;fa51qBpyGOa+Jxbv4AeHUc6h1nbAk4S7TmdJstAOW5aGBnt6aqj63h6dAV3j88e53k09nRf32du7&#10;fl3F0Zjbm+lxDSrSFP+e4YIv6FAK094f2QbVGZAh0cDsbiUDLna6fEhB7UVloMtC/+cvfwEAAP//&#10;AwBQSwECLQAUAAYACAAAACEAtoM4kv4AAADhAQAAEwAAAAAAAAAAAAAAAAAAAAAAW0NvbnRlbnRf&#10;VHlwZXNdLnhtbFBLAQItABQABgAIAAAAIQA4/SH/1gAAAJQBAAALAAAAAAAAAAAAAAAAAC8BAABf&#10;cmVscy8ucmVsc1BLAQItABQABgAIAAAAIQDDU5QHoQIAAIkFAAAOAAAAAAAAAAAAAAAAAC4CAABk&#10;cnMvZTJvRG9jLnhtbFBLAQItABQABgAIAAAAIQA9dq2q3QAAAAcBAAAPAAAAAAAAAAAAAAAAAPsE&#10;AABkcnMvZG93bnJldi54bWxQSwUGAAAAAAQABADzAAAABQYAAAAA&#10;" fillcolor="#1f9169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E27"/>
    <w:multiLevelType w:val="hybridMultilevel"/>
    <w:tmpl w:val="E9C4A1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D41D2"/>
    <w:multiLevelType w:val="hybridMultilevel"/>
    <w:tmpl w:val="D0587520"/>
    <w:lvl w:ilvl="0" w:tplc="B108F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FA90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8D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0C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66F4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002B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84C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C6C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ED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241DA"/>
    <w:multiLevelType w:val="hybridMultilevel"/>
    <w:tmpl w:val="1570E1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F51BD"/>
    <w:multiLevelType w:val="hybridMultilevel"/>
    <w:tmpl w:val="287EB6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78C"/>
    <w:multiLevelType w:val="hybridMultilevel"/>
    <w:tmpl w:val="8050F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978AB"/>
    <w:multiLevelType w:val="hybridMultilevel"/>
    <w:tmpl w:val="3E080E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A781B"/>
    <w:multiLevelType w:val="hybridMultilevel"/>
    <w:tmpl w:val="DED086F4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00C71"/>
    <w:multiLevelType w:val="hybridMultilevel"/>
    <w:tmpl w:val="DAF0D0BE"/>
    <w:lvl w:ilvl="0" w:tplc="923EC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7E1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9A7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6A2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245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8270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028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E0E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0AEC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9D2FFC"/>
    <w:multiLevelType w:val="hybridMultilevel"/>
    <w:tmpl w:val="0952FFF0"/>
    <w:lvl w:ilvl="0" w:tplc="5A8E7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3AC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C60A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D87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266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8E70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60F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5869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3255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6C6901"/>
    <w:multiLevelType w:val="hybridMultilevel"/>
    <w:tmpl w:val="33883824"/>
    <w:lvl w:ilvl="0" w:tplc="0494F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263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401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A65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CD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606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81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AE1B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06D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D83DFE"/>
    <w:multiLevelType w:val="hybridMultilevel"/>
    <w:tmpl w:val="A2AA00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32FB5"/>
    <w:multiLevelType w:val="hybridMultilevel"/>
    <w:tmpl w:val="BC1037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B6ABA"/>
    <w:multiLevelType w:val="hybridMultilevel"/>
    <w:tmpl w:val="42C86FD8"/>
    <w:lvl w:ilvl="0" w:tplc="EC32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43E96"/>
    <w:multiLevelType w:val="hybridMultilevel"/>
    <w:tmpl w:val="A33601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9496C"/>
    <w:multiLevelType w:val="hybridMultilevel"/>
    <w:tmpl w:val="ED407478"/>
    <w:lvl w:ilvl="0" w:tplc="2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73445A8C"/>
    <w:multiLevelType w:val="hybridMultilevel"/>
    <w:tmpl w:val="E6A02EC8"/>
    <w:lvl w:ilvl="0" w:tplc="0EB6D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1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4E5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06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60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D075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D07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CC0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C23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12"/>
  </w:num>
  <w:num w:numId="10">
    <w:abstractNumId w:val="7"/>
  </w:num>
  <w:num w:numId="11">
    <w:abstractNumId w:val="15"/>
  </w:num>
  <w:num w:numId="12">
    <w:abstractNumId w:val="8"/>
  </w:num>
  <w:num w:numId="13">
    <w:abstractNumId w:val="1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BC"/>
    <w:rsid w:val="00003020"/>
    <w:rsid w:val="00003CB8"/>
    <w:rsid w:val="00006E80"/>
    <w:rsid w:val="0001317B"/>
    <w:rsid w:val="0002109D"/>
    <w:rsid w:val="00021DBF"/>
    <w:rsid w:val="00021E46"/>
    <w:rsid w:val="00022C67"/>
    <w:rsid w:val="00024BE9"/>
    <w:rsid w:val="0002596C"/>
    <w:rsid w:val="0003218A"/>
    <w:rsid w:val="000412E9"/>
    <w:rsid w:val="00042B3E"/>
    <w:rsid w:val="000445D5"/>
    <w:rsid w:val="00046948"/>
    <w:rsid w:val="000471BB"/>
    <w:rsid w:val="00051DFC"/>
    <w:rsid w:val="00055A8E"/>
    <w:rsid w:val="00060921"/>
    <w:rsid w:val="000622C9"/>
    <w:rsid w:val="00063059"/>
    <w:rsid w:val="000664B9"/>
    <w:rsid w:val="0006709A"/>
    <w:rsid w:val="00067DD2"/>
    <w:rsid w:val="00067F35"/>
    <w:rsid w:val="00071A5C"/>
    <w:rsid w:val="0008011C"/>
    <w:rsid w:val="000841D9"/>
    <w:rsid w:val="00086489"/>
    <w:rsid w:val="000950EA"/>
    <w:rsid w:val="00097D20"/>
    <w:rsid w:val="000A4DB8"/>
    <w:rsid w:val="000A731D"/>
    <w:rsid w:val="000B538B"/>
    <w:rsid w:val="000B612F"/>
    <w:rsid w:val="000B6E7D"/>
    <w:rsid w:val="000C29DC"/>
    <w:rsid w:val="000D01B0"/>
    <w:rsid w:val="000D0B4C"/>
    <w:rsid w:val="000D14E2"/>
    <w:rsid w:val="000D26BA"/>
    <w:rsid w:val="000D5116"/>
    <w:rsid w:val="000E0ABF"/>
    <w:rsid w:val="000E527C"/>
    <w:rsid w:val="000F3BA4"/>
    <w:rsid w:val="000F47D9"/>
    <w:rsid w:val="000F5BCF"/>
    <w:rsid w:val="00102178"/>
    <w:rsid w:val="00103A67"/>
    <w:rsid w:val="00103CFB"/>
    <w:rsid w:val="00106136"/>
    <w:rsid w:val="001069B7"/>
    <w:rsid w:val="001152FE"/>
    <w:rsid w:val="00120199"/>
    <w:rsid w:val="00121E94"/>
    <w:rsid w:val="001226E6"/>
    <w:rsid w:val="0012368F"/>
    <w:rsid w:val="0012522F"/>
    <w:rsid w:val="00126897"/>
    <w:rsid w:val="00127271"/>
    <w:rsid w:val="00141275"/>
    <w:rsid w:val="00150561"/>
    <w:rsid w:val="00160238"/>
    <w:rsid w:val="001643FC"/>
    <w:rsid w:val="001655B2"/>
    <w:rsid w:val="00165807"/>
    <w:rsid w:val="00167927"/>
    <w:rsid w:val="00175942"/>
    <w:rsid w:val="00186DD4"/>
    <w:rsid w:val="00192D6A"/>
    <w:rsid w:val="001930B4"/>
    <w:rsid w:val="00196B8C"/>
    <w:rsid w:val="0019753E"/>
    <w:rsid w:val="00197F44"/>
    <w:rsid w:val="001A1518"/>
    <w:rsid w:val="001A2E14"/>
    <w:rsid w:val="001A3389"/>
    <w:rsid w:val="001A3547"/>
    <w:rsid w:val="001A3F15"/>
    <w:rsid w:val="001B1FA7"/>
    <w:rsid w:val="001C3025"/>
    <w:rsid w:val="001C5314"/>
    <w:rsid w:val="001D0E7B"/>
    <w:rsid w:val="001D17A3"/>
    <w:rsid w:val="001D183B"/>
    <w:rsid w:val="001D64C3"/>
    <w:rsid w:val="001E0F7F"/>
    <w:rsid w:val="001E732B"/>
    <w:rsid w:val="001F04F4"/>
    <w:rsid w:val="001F0DA1"/>
    <w:rsid w:val="001F3B2B"/>
    <w:rsid w:val="001F613E"/>
    <w:rsid w:val="001F628C"/>
    <w:rsid w:val="0020198A"/>
    <w:rsid w:val="00204982"/>
    <w:rsid w:val="00205356"/>
    <w:rsid w:val="00213B82"/>
    <w:rsid w:val="00215988"/>
    <w:rsid w:val="002214A9"/>
    <w:rsid w:val="00222E54"/>
    <w:rsid w:val="00230284"/>
    <w:rsid w:val="00234A8C"/>
    <w:rsid w:val="00236756"/>
    <w:rsid w:val="00240AB8"/>
    <w:rsid w:val="0024267D"/>
    <w:rsid w:val="0024779C"/>
    <w:rsid w:val="00253114"/>
    <w:rsid w:val="00256D76"/>
    <w:rsid w:val="002611C1"/>
    <w:rsid w:val="0026179E"/>
    <w:rsid w:val="00262446"/>
    <w:rsid w:val="00263A00"/>
    <w:rsid w:val="00272762"/>
    <w:rsid w:val="0027305E"/>
    <w:rsid w:val="002802A4"/>
    <w:rsid w:val="00283C11"/>
    <w:rsid w:val="00283C8A"/>
    <w:rsid w:val="00287D52"/>
    <w:rsid w:val="002A2730"/>
    <w:rsid w:val="002A4053"/>
    <w:rsid w:val="002C1B57"/>
    <w:rsid w:val="002C317A"/>
    <w:rsid w:val="002C4370"/>
    <w:rsid w:val="002C4B61"/>
    <w:rsid w:val="002C5896"/>
    <w:rsid w:val="002D08B0"/>
    <w:rsid w:val="002D2585"/>
    <w:rsid w:val="002D2AEC"/>
    <w:rsid w:val="002D4185"/>
    <w:rsid w:val="002D5612"/>
    <w:rsid w:val="002E18DE"/>
    <w:rsid w:val="002E36BC"/>
    <w:rsid w:val="002E5553"/>
    <w:rsid w:val="002F481D"/>
    <w:rsid w:val="002F4895"/>
    <w:rsid w:val="00300C93"/>
    <w:rsid w:val="0030212A"/>
    <w:rsid w:val="00304E69"/>
    <w:rsid w:val="0030643E"/>
    <w:rsid w:val="003132E3"/>
    <w:rsid w:val="00315FBC"/>
    <w:rsid w:val="003165A4"/>
    <w:rsid w:val="00316CE3"/>
    <w:rsid w:val="0032173C"/>
    <w:rsid w:val="00321E29"/>
    <w:rsid w:val="003315B3"/>
    <w:rsid w:val="0033167F"/>
    <w:rsid w:val="0033747B"/>
    <w:rsid w:val="00341770"/>
    <w:rsid w:val="00344B3F"/>
    <w:rsid w:val="00344ED7"/>
    <w:rsid w:val="00345AD6"/>
    <w:rsid w:val="0035415A"/>
    <w:rsid w:val="00361D31"/>
    <w:rsid w:val="00366FC7"/>
    <w:rsid w:val="00372ABB"/>
    <w:rsid w:val="00382E3C"/>
    <w:rsid w:val="00383C6A"/>
    <w:rsid w:val="00387A2B"/>
    <w:rsid w:val="003912ED"/>
    <w:rsid w:val="003956B0"/>
    <w:rsid w:val="003A1DF9"/>
    <w:rsid w:val="003A3EDC"/>
    <w:rsid w:val="003B053F"/>
    <w:rsid w:val="003B0D24"/>
    <w:rsid w:val="003B3EF4"/>
    <w:rsid w:val="003B645D"/>
    <w:rsid w:val="003C4727"/>
    <w:rsid w:val="003D0446"/>
    <w:rsid w:val="003D0BFF"/>
    <w:rsid w:val="003D26C2"/>
    <w:rsid w:val="003D366C"/>
    <w:rsid w:val="003E19E8"/>
    <w:rsid w:val="003E1EE0"/>
    <w:rsid w:val="003E2BCA"/>
    <w:rsid w:val="003E5666"/>
    <w:rsid w:val="003E70A0"/>
    <w:rsid w:val="003F2CE6"/>
    <w:rsid w:val="003F4D8D"/>
    <w:rsid w:val="003F62FE"/>
    <w:rsid w:val="003F6AED"/>
    <w:rsid w:val="00402FCD"/>
    <w:rsid w:val="00412B98"/>
    <w:rsid w:val="004156C2"/>
    <w:rsid w:val="00417BB7"/>
    <w:rsid w:val="00420BDE"/>
    <w:rsid w:val="00433627"/>
    <w:rsid w:val="0044236D"/>
    <w:rsid w:val="00445AE6"/>
    <w:rsid w:val="00446C42"/>
    <w:rsid w:val="00446DB7"/>
    <w:rsid w:val="00451BB3"/>
    <w:rsid w:val="00452A8D"/>
    <w:rsid w:val="00452C4A"/>
    <w:rsid w:val="0045553F"/>
    <w:rsid w:val="00457112"/>
    <w:rsid w:val="00460F22"/>
    <w:rsid w:val="00463566"/>
    <w:rsid w:val="00463B4B"/>
    <w:rsid w:val="004655B1"/>
    <w:rsid w:val="00467C74"/>
    <w:rsid w:val="00470856"/>
    <w:rsid w:val="0047729C"/>
    <w:rsid w:val="00480E6C"/>
    <w:rsid w:val="00483A17"/>
    <w:rsid w:val="0048586B"/>
    <w:rsid w:val="00487F75"/>
    <w:rsid w:val="00491D01"/>
    <w:rsid w:val="00492630"/>
    <w:rsid w:val="00494541"/>
    <w:rsid w:val="00497B9E"/>
    <w:rsid w:val="004A14FF"/>
    <w:rsid w:val="004A172A"/>
    <w:rsid w:val="004B0677"/>
    <w:rsid w:val="004B0D7C"/>
    <w:rsid w:val="004B15D1"/>
    <w:rsid w:val="004C5E43"/>
    <w:rsid w:val="004D3EB5"/>
    <w:rsid w:val="004E3105"/>
    <w:rsid w:val="004F0664"/>
    <w:rsid w:val="004F371E"/>
    <w:rsid w:val="004F49A8"/>
    <w:rsid w:val="004F7358"/>
    <w:rsid w:val="004F7F65"/>
    <w:rsid w:val="00500BB9"/>
    <w:rsid w:val="00503831"/>
    <w:rsid w:val="00513571"/>
    <w:rsid w:val="00514E22"/>
    <w:rsid w:val="00516852"/>
    <w:rsid w:val="00526456"/>
    <w:rsid w:val="005427E2"/>
    <w:rsid w:val="00542851"/>
    <w:rsid w:val="00546441"/>
    <w:rsid w:val="00551B15"/>
    <w:rsid w:val="00554953"/>
    <w:rsid w:val="005661F8"/>
    <w:rsid w:val="0057122E"/>
    <w:rsid w:val="00574966"/>
    <w:rsid w:val="005753FB"/>
    <w:rsid w:val="005770DF"/>
    <w:rsid w:val="00580285"/>
    <w:rsid w:val="00584908"/>
    <w:rsid w:val="00585A84"/>
    <w:rsid w:val="005869AF"/>
    <w:rsid w:val="00587DD4"/>
    <w:rsid w:val="005954DF"/>
    <w:rsid w:val="00597DDD"/>
    <w:rsid w:val="005A7BF8"/>
    <w:rsid w:val="005B1A62"/>
    <w:rsid w:val="005B39A0"/>
    <w:rsid w:val="005C3353"/>
    <w:rsid w:val="005C505C"/>
    <w:rsid w:val="005D10A0"/>
    <w:rsid w:val="005E2F27"/>
    <w:rsid w:val="005E5B6B"/>
    <w:rsid w:val="005F0366"/>
    <w:rsid w:val="005F0DAB"/>
    <w:rsid w:val="005F58E0"/>
    <w:rsid w:val="0060119F"/>
    <w:rsid w:val="006031E4"/>
    <w:rsid w:val="00604C56"/>
    <w:rsid w:val="00610A13"/>
    <w:rsid w:val="006114CF"/>
    <w:rsid w:val="0061324B"/>
    <w:rsid w:val="006155C4"/>
    <w:rsid w:val="0062293F"/>
    <w:rsid w:val="00622A56"/>
    <w:rsid w:val="006242A8"/>
    <w:rsid w:val="00625F78"/>
    <w:rsid w:val="0062633F"/>
    <w:rsid w:val="0062705E"/>
    <w:rsid w:val="0062721C"/>
    <w:rsid w:val="00627592"/>
    <w:rsid w:val="006354D1"/>
    <w:rsid w:val="00635543"/>
    <w:rsid w:val="0064389A"/>
    <w:rsid w:val="00646416"/>
    <w:rsid w:val="00646729"/>
    <w:rsid w:val="0065110D"/>
    <w:rsid w:val="00654DA9"/>
    <w:rsid w:val="00656D5B"/>
    <w:rsid w:val="00663FC7"/>
    <w:rsid w:val="006721EA"/>
    <w:rsid w:val="00672DBD"/>
    <w:rsid w:val="00681207"/>
    <w:rsid w:val="00682156"/>
    <w:rsid w:val="006849E6"/>
    <w:rsid w:val="00684AFF"/>
    <w:rsid w:val="00685637"/>
    <w:rsid w:val="00695FF3"/>
    <w:rsid w:val="006A0226"/>
    <w:rsid w:val="006A3F21"/>
    <w:rsid w:val="006B3BD8"/>
    <w:rsid w:val="006C54DC"/>
    <w:rsid w:val="006D1DFC"/>
    <w:rsid w:val="006D6188"/>
    <w:rsid w:val="006E5000"/>
    <w:rsid w:val="006F3451"/>
    <w:rsid w:val="007045D9"/>
    <w:rsid w:val="00705A33"/>
    <w:rsid w:val="00712727"/>
    <w:rsid w:val="00713DE0"/>
    <w:rsid w:val="007147F7"/>
    <w:rsid w:val="0072584B"/>
    <w:rsid w:val="00726FBF"/>
    <w:rsid w:val="0073196D"/>
    <w:rsid w:val="007342DF"/>
    <w:rsid w:val="00734E22"/>
    <w:rsid w:val="00737385"/>
    <w:rsid w:val="0074392C"/>
    <w:rsid w:val="00752EE2"/>
    <w:rsid w:val="007545AA"/>
    <w:rsid w:val="00754EA6"/>
    <w:rsid w:val="00755555"/>
    <w:rsid w:val="00755FD8"/>
    <w:rsid w:val="007854A2"/>
    <w:rsid w:val="007929E9"/>
    <w:rsid w:val="00792CA0"/>
    <w:rsid w:val="007965E8"/>
    <w:rsid w:val="007A1F54"/>
    <w:rsid w:val="007A493B"/>
    <w:rsid w:val="007A7034"/>
    <w:rsid w:val="007B1749"/>
    <w:rsid w:val="007B1977"/>
    <w:rsid w:val="007B2B42"/>
    <w:rsid w:val="007B5434"/>
    <w:rsid w:val="007B56ED"/>
    <w:rsid w:val="007C1C00"/>
    <w:rsid w:val="007C3F8B"/>
    <w:rsid w:val="007D08FD"/>
    <w:rsid w:val="007D23E2"/>
    <w:rsid w:val="007D3C02"/>
    <w:rsid w:val="007E397B"/>
    <w:rsid w:val="007E7879"/>
    <w:rsid w:val="007F24D7"/>
    <w:rsid w:val="00802DAD"/>
    <w:rsid w:val="00812B6D"/>
    <w:rsid w:val="00824799"/>
    <w:rsid w:val="0082703A"/>
    <w:rsid w:val="008307A8"/>
    <w:rsid w:val="00832D72"/>
    <w:rsid w:val="008412DA"/>
    <w:rsid w:val="00843366"/>
    <w:rsid w:val="008461EF"/>
    <w:rsid w:val="00847DA2"/>
    <w:rsid w:val="00850F39"/>
    <w:rsid w:val="00865F9F"/>
    <w:rsid w:val="008704C2"/>
    <w:rsid w:val="00871F1A"/>
    <w:rsid w:val="00872387"/>
    <w:rsid w:val="0088153E"/>
    <w:rsid w:val="00881B9C"/>
    <w:rsid w:val="00884433"/>
    <w:rsid w:val="00885010"/>
    <w:rsid w:val="00885771"/>
    <w:rsid w:val="008860F2"/>
    <w:rsid w:val="00890C9F"/>
    <w:rsid w:val="008918F5"/>
    <w:rsid w:val="008924BB"/>
    <w:rsid w:val="00893B2C"/>
    <w:rsid w:val="00894271"/>
    <w:rsid w:val="00896A6D"/>
    <w:rsid w:val="008970E7"/>
    <w:rsid w:val="008A3977"/>
    <w:rsid w:val="008B0649"/>
    <w:rsid w:val="008B6E06"/>
    <w:rsid w:val="008C2171"/>
    <w:rsid w:val="008C3C75"/>
    <w:rsid w:val="008C689A"/>
    <w:rsid w:val="008C7289"/>
    <w:rsid w:val="008D35CF"/>
    <w:rsid w:val="008E46FD"/>
    <w:rsid w:val="008E69FF"/>
    <w:rsid w:val="008E7033"/>
    <w:rsid w:val="008F051F"/>
    <w:rsid w:val="008F0970"/>
    <w:rsid w:val="008F0D00"/>
    <w:rsid w:val="008F1D38"/>
    <w:rsid w:val="008F23FF"/>
    <w:rsid w:val="008F4EB6"/>
    <w:rsid w:val="00902150"/>
    <w:rsid w:val="00904FA1"/>
    <w:rsid w:val="009056E3"/>
    <w:rsid w:val="0090609D"/>
    <w:rsid w:val="00916E20"/>
    <w:rsid w:val="00933D0F"/>
    <w:rsid w:val="0093458D"/>
    <w:rsid w:val="00936259"/>
    <w:rsid w:val="009365BD"/>
    <w:rsid w:val="00947BD9"/>
    <w:rsid w:val="00951A07"/>
    <w:rsid w:val="00952698"/>
    <w:rsid w:val="00953FE8"/>
    <w:rsid w:val="009572F6"/>
    <w:rsid w:val="00961494"/>
    <w:rsid w:val="009704B8"/>
    <w:rsid w:val="00971FB5"/>
    <w:rsid w:val="009721C3"/>
    <w:rsid w:val="00976274"/>
    <w:rsid w:val="00977BA7"/>
    <w:rsid w:val="009803A0"/>
    <w:rsid w:val="00984610"/>
    <w:rsid w:val="00985163"/>
    <w:rsid w:val="00987B8F"/>
    <w:rsid w:val="00990161"/>
    <w:rsid w:val="009911F3"/>
    <w:rsid w:val="00992825"/>
    <w:rsid w:val="009A03C5"/>
    <w:rsid w:val="009A0F63"/>
    <w:rsid w:val="009B0B0E"/>
    <w:rsid w:val="009D4FC7"/>
    <w:rsid w:val="009D5F8C"/>
    <w:rsid w:val="009D7012"/>
    <w:rsid w:val="009D7A8B"/>
    <w:rsid w:val="009E042D"/>
    <w:rsid w:val="009E13F2"/>
    <w:rsid w:val="009E6428"/>
    <w:rsid w:val="009E6CA2"/>
    <w:rsid w:val="00A05061"/>
    <w:rsid w:val="00A06221"/>
    <w:rsid w:val="00A15118"/>
    <w:rsid w:val="00A20511"/>
    <w:rsid w:val="00A2595A"/>
    <w:rsid w:val="00A315A9"/>
    <w:rsid w:val="00A32848"/>
    <w:rsid w:val="00A3502A"/>
    <w:rsid w:val="00A364A9"/>
    <w:rsid w:val="00A367FE"/>
    <w:rsid w:val="00A4000D"/>
    <w:rsid w:val="00A40649"/>
    <w:rsid w:val="00A57F57"/>
    <w:rsid w:val="00A62513"/>
    <w:rsid w:val="00A62A69"/>
    <w:rsid w:val="00A639A1"/>
    <w:rsid w:val="00A65547"/>
    <w:rsid w:val="00A67CBF"/>
    <w:rsid w:val="00A71940"/>
    <w:rsid w:val="00A7328D"/>
    <w:rsid w:val="00A74E13"/>
    <w:rsid w:val="00A753C0"/>
    <w:rsid w:val="00A76C23"/>
    <w:rsid w:val="00A802F7"/>
    <w:rsid w:val="00A81DA1"/>
    <w:rsid w:val="00A85331"/>
    <w:rsid w:val="00A86CFD"/>
    <w:rsid w:val="00A963FF"/>
    <w:rsid w:val="00AA0CC0"/>
    <w:rsid w:val="00AA38F0"/>
    <w:rsid w:val="00AA48AF"/>
    <w:rsid w:val="00AB1DB6"/>
    <w:rsid w:val="00AB1EF7"/>
    <w:rsid w:val="00AB408A"/>
    <w:rsid w:val="00AC15A1"/>
    <w:rsid w:val="00AD456C"/>
    <w:rsid w:val="00AD5402"/>
    <w:rsid w:val="00AE4419"/>
    <w:rsid w:val="00AE5A0F"/>
    <w:rsid w:val="00AE6EBA"/>
    <w:rsid w:val="00AF00A7"/>
    <w:rsid w:val="00AF07BB"/>
    <w:rsid w:val="00AF452C"/>
    <w:rsid w:val="00AF5B11"/>
    <w:rsid w:val="00B01E99"/>
    <w:rsid w:val="00B0340F"/>
    <w:rsid w:val="00B11F1D"/>
    <w:rsid w:val="00B129D9"/>
    <w:rsid w:val="00B1645D"/>
    <w:rsid w:val="00B16B1B"/>
    <w:rsid w:val="00B222DB"/>
    <w:rsid w:val="00B23177"/>
    <w:rsid w:val="00B339C9"/>
    <w:rsid w:val="00B36F20"/>
    <w:rsid w:val="00B412D7"/>
    <w:rsid w:val="00B44CA4"/>
    <w:rsid w:val="00B457E0"/>
    <w:rsid w:val="00B4789C"/>
    <w:rsid w:val="00B50414"/>
    <w:rsid w:val="00B50428"/>
    <w:rsid w:val="00B5070D"/>
    <w:rsid w:val="00B517A1"/>
    <w:rsid w:val="00B517CD"/>
    <w:rsid w:val="00B57609"/>
    <w:rsid w:val="00B601FE"/>
    <w:rsid w:val="00B62280"/>
    <w:rsid w:val="00B63865"/>
    <w:rsid w:val="00B652A1"/>
    <w:rsid w:val="00B70753"/>
    <w:rsid w:val="00B758FE"/>
    <w:rsid w:val="00B770C9"/>
    <w:rsid w:val="00B77A53"/>
    <w:rsid w:val="00B8139A"/>
    <w:rsid w:val="00B81ACD"/>
    <w:rsid w:val="00B82177"/>
    <w:rsid w:val="00B823D7"/>
    <w:rsid w:val="00BA13C0"/>
    <w:rsid w:val="00BA4D8C"/>
    <w:rsid w:val="00BB6739"/>
    <w:rsid w:val="00BD09D3"/>
    <w:rsid w:val="00BE3745"/>
    <w:rsid w:val="00BE56EA"/>
    <w:rsid w:val="00BF0B5B"/>
    <w:rsid w:val="00BF4544"/>
    <w:rsid w:val="00BF5719"/>
    <w:rsid w:val="00C160EB"/>
    <w:rsid w:val="00C179DF"/>
    <w:rsid w:val="00C22759"/>
    <w:rsid w:val="00C27360"/>
    <w:rsid w:val="00C27399"/>
    <w:rsid w:val="00C30D8D"/>
    <w:rsid w:val="00C32F83"/>
    <w:rsid w:val="00C3507B"/>
    <w:rsid w:val="00C374D9"/>
    <w:rsid w:val="00C42E81"/>
    <w:rsid w:val="00C4589A"/>
    <w:rsid w:val="00C46835"/>
    <w:rsid w:val="00C52468"/>
    <w:rsid w:val="00C54227"/>
    <w:rsid w:val="00C5450C"/>
    <w:rsid w:val="00C56041"/>
    <w:rsid w:val="00C63495"/>
    <w:rsid w:val="00C6679B"/>
    <w:rsid w:val="00C75E4E"/>
    <w:rsid w:val="00C77764"/>
    <w:rsid w:val="00C81159"/>
    <w:rsid w:val="00C81FE7"/>
    <w:rsid w:val="00C823F5"/>
    <w:rsid w:val="00C82F71"/>
    <w:rsid w:val="00C86571"/>
    <w:rsid w:val="00C903DB"/>
    <w:rsid w:val="00C954E9"/>
    <w:rsid w:val="00C97AF4"/>
    <w:rsid w:val="00CA58CA"/>
    <w:rsid w:val="00CA5EE6"/>
    <w:rsid w:val="00CA6669"/>
    <w:rsid w:val="00CB0BD3"/>
    <w:rsid w:val="00CB2CD6"/>
    <w:rsid w:val="00CB4428"/>
    <w:rsid w:val="00CB691D"/>
    <w:rsid w:val="00CC6B8F"/>
    <w:rsid w:val="00CC7417"/>
    <w:rsid w:val="00CD46C2"/>
    <w:rsid w:val="00CD4E84"/>
    <w:rsid w:val="00CD566E"/>
    <w:rsid w:val="00CE15D5"/>
    <w:rsid w:val="00CE2950"/>
    <w:rsid w:val="00CE551F"/>
    <w:rsid w:val="00CE60B5"/>
    <w:rsid w:val="00CE6150"/>
    <w:rsid w:val="00CF1593"/>
    <w:rsid w:val="00CF1EB1"/>
    <w:rsid w:val="00D04E4E"/>
    <w:rsid w:val="00D158E4"/>
    <w:rsid w:val="00D164F8"/>
    <w:rsid w:val="00D235AD"/>
    <w:rsid w:val="00D25520"/>
    <w:rsid w:val="00D2579C"/>
    <w:rsid w:val="00D257BB"/>
    <w:rsid w:val="00D26AD2"/>
    <w:rsid w:val="00D30A74"/>
    <w:rsid w:val="00D37B6A"/>
    <w:rsid w:val="00D452DF"/>
    <w:rsid w:val="00D45926"/>
    <w:rsid w:val="00D46777"/>
    <w:rsid w:val="00D50D77"/>
    <w:rsid w:val="00D579B5"/>
    <w:rsid w:val="00D62C11"/>
    <w:rsid w:val="00D62F0A"/>
    <w:rsid w:val="00D648B7"/>
    <w:rsid w:val="00D64A8E"/>
    <w:rsid w:val="00D64DBE"/>
    <w:rsid w:val="00D6684F"/>
    <w:rsid w:val="00D67293"/>
    <w:rsid w:val="00D67491"/>
    <w:rsid w:val="00D8127E"/>
    <w:rsid w:val="00D82D70"/>
    <w:rsid w:val="00D83C37"/>
    <w:rsid w:val="00D847E7"/>
    <w:rsid w:val="00D8515E"/>
    <w:rsid w:val="00D90AFB"/>
    <w:rsid w:val="00D9191D"/>
    <w:rsid w:val="00D936F0"/>
    <w:rsid w:val="00DA10ED"/>
    <w:rsid w:val="00DA7AB9"/>
    <w:rsid w:val="00DB3584"/>
    <w:rsid w:val="00DC0E70"/>
    <w:rsid w:val="00DC4358"/>
    <w:rsid w:val="00DC6A10"/>
    <w:rsid w:val="00DD70CA"/>
    <w:rsid w:val="00DE6624"/>
    <w:rsid w:val="00DE7BD6"/>
    <w:rsid w:val="00DF7B3C"/>
    <w:rsid w:val="00E00B83"/>
    <w:rsid w:val="00E0168D"/>
    <w:rsid w:val="00E0366F"/>
    <w:rsid w:val="00E10633"/>
    <w:rsid w:val="00E1220A"/>
    <w:rsid w:val="00E14CD8"/>
    <w:rsid w:val="00E14D7B"/>
    <w:rsid w:val="00E15A25"/>
    <w:rsid w:val="00E17213"/>
    <w:rsid w:val="00E208A5"/>
    <w:rsid w:val="00E211FF"/>
    <w:rsid w:val="00E276DE"/>
    <w:rsid w:val="00E35D9F"/>
    <w:rsid w:val="00E36AD0"/>
    <w:rsid w:val="00E4074D"/>
    <w:rsid w:val="00E41D97"/>
    <w:rsid w:val="00E526CA"/>
    <w:rsid w:val="00E53275"/>
    <w:rsid w:val="00E54975"/>
    <w:rsid w:val="00E57F99"/>
    <w:rsid w:val="00E60298"/>
    <w:rsid w:val="00E63481"/>
    <w:rsid w:val="00E65911"/>
    <w:rsid w:val="00E67E5D"/>
    <w:rsid w:val="00E73042"/>
    <w:rsid w:val="00E74786"/>
    <w:rsid w:val="00E7566E"/>
    <w:rsid w:val="00E83C65"/>
    <w:rsid w:val="00E8492E"/>
    <w:rsid w:val="00E85D07"/>
    <w:rsid w:val="00E94480"/>
    <w:rsid w:val="00E96C91"/>
    <w:rsid w:val="00E9792D"/>
    <w:rsid w:val="00EA1F9E"/>
    <w:rsid w:val="00EA4191"/>
    <w:rsid w:val="00EA589E"/>
    <w:rsid w:val="00EA5F5A"/>
    <w:rsid w:val="00EA63F6"/>
    <w:rsid w:val="00EB3FB2"/>
    <w:rsid w:val="00EC1E72"/>
    <w:rsid w:val="00EC3470"/>
    <w:rsid w:val="00EC4783"/>
    <w:rsid w:val="00EC7C5E"/>
    <w:rsid w:val="00ED534B"/>
    <w:rsid w:val="00ED5F06"/>
    <w:rsid w:val="00EE2C4E"/>
    <w:rsid w:val="00EE3178"/>
    <w:rsid w:val="00EE4312"/>
    <w:rsid w:val="00EE79C3"/>
    <w:rsid w:val="00EF032A"/>
    <w:rsid w:val="00EF15E0"/>
    <w:rsid w:val="00EF1FC1"/>
    <w:rsid w:val="00EF374B"/>
    <w:rsid w:val="00EF3913"/>
    <w:rsid w:val="00EF53A9"/>
    <w:rsid w:val="00EF7EB2"/>
    <w:rsid w:val="00F007DC"/>
    <w:rsid w:val="00F0287D"/>
    <w:rsid w:val="00F028D3"/>
    <w:rsid w:val="00F06DF3"/>
    <w:rsid w:val="00F06EF7"/>
    <w:rsid w:val="00F16828"/>
    <w:rsid w:val="00F17237"/>
    <w:rsid w:val="00F2042E"/>
    <w:rsid w:val="00F210C1"/>
    <w:rsid w:val="00F21920"/>
    <w:rsid w:val="00F22B57"/>
    <w:rsid w:val="00F26F5C"/>
    <w:rsid w:val="00F2742F"/>
    <w:rsid w:val="00F32B5D"/>
    <w:rsid w:val="00F357F5"/>
    <w:rsid w:val="00F36EF4"/>
    <w:rsid w:val="00F43423"/>
    <w:rsid w:val="00F43995"/>
    <w:rsid w:val="00F50B35"/>
    <w:rsid w:val="00F562AB"/>
    <w:rsid w:val="00F568C3"/>
    <w:rsid w:val="00F70E03"/>
    <w:rsid w:val="00F71D6D"/>
    <w:rsid w:val="00F76913"/>
    <w:rsid w:val="00F8038B"/>
    <w:rsid w:val="00F80D7F"/>
    <w:rsid w:val="00F83C56"/>
    <w:rsid w:val="00F8465E"/>
    <w:rsid w:val="00F8512C"/>
    <w:rsid w:val="00F90E7A"/>
    <w:rsid w:val="00F97776"/>
    <w:rsid w:val="00FA0336"/>
    <w:rsid w:val="00FA039A"/>
    <w:rsid w:val="00FA1B94"/>
    <w:rsid w:val="00FA405D"/>
    <w:rsid w:val="00FA700D"/>
    <w:rsid w:val="00FC0D1D"/>
    <w:rsid w:val="00FC5291"/>
    <w:rsid w:val="00FC700F"/>
    <w:rsid w:val="00FD3002"/>
    <w:rsid w:val="00FE16CE"/>
    <w:rsid w:val="00FE2256"/>
    <w:rsid w:val="00FE2907"/>
    <w:rsid w:val="00FE3824"/>
    <w:rsid w:val="00FE4D7E"/>
    <w:rsid w:val="00FF594A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9E19D"/>
  <w15:docId w15:val="{032E290B-6EB2-41A9-9CCD-27E758F1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003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CB8"/>
  </w:style>
  <w:style w:type="paragraph" w:styleId="Piedepgina">
    <w:name w:val="footer"/>
    <w:basedOn w:val="Normal"/>
    <w:link w:val="PiedepginaCar"/>
    <w:uiPriority w:val="99"/>
    <w:unhideWhenUsed/>
    <w:rsid w:val="00003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CB8"/>
  </w:style>
  <w:style w:type="paragraph" w:styleId="Prrafodelista">
    <w:name w:val="List Paragraph"/>
    <w:basedOn w:val="Normal"/>
    <w:link w:val="PrrafodelistaCar"/>
    <w:uiPriority w:val="34"/>
    <w:qFormat/>
    <w:rsid w:val="00B8139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23F5"/>
    <w:rPr>
      <w:color w:val="0000FF"/>
      <w:u w:val="single"/>
    </w:rPr>
  </w:style>
  <w:style w:type="paragraph" w:styleId="Revisin">
    <w:name w:val="Revision"/>
    <w:hidden/>
    <w:uiPriority w:val="99"/>
    <w:semiHidden/>
    <w:rsid w:val="00383C6A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rsid w:val="00885771"/>
  </w:style>
  <w:style w:type="paragraph" w:styleId="Textodeglobo">
    <w:name w:val="Balloon Text"/>
    <w:basedOn w:val="Normal"/>
    <w:link w:val="TextodegloboCar"/>
    <w:uiPriority w:val="99"/>
    <w:semiHidden/>
    <w:unhideWhenUsed/>
    <w:rsid w:val="00F8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D7F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6B8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6B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C6B8F"/>
    <w:rPr>
      <w:vertAlign w:val="superscript"/>
    </w:rPr>
  </w:style>
  <w:style w:type="table" w:styleId="Tablaconcuadrcula">
    <w:name w:val="Table Grid"/>
    <w:basedOn w:val="Tablanormal"/>
    <w:uiPriority w:val="39"/>
    <w:rsid w:val="002A2730"/>
    <w:pPr>
      <w:spacing w:after="0" w:line="240" w:lineRule="auto"/>
    </w:pPr>
    <w:rPr>
      <w:rFonts w:asciiTheme="minorHAnsi" w:eastAsiaTheme="minorHAnsi" w:hAnsiTheme="minorHAnsi" w:cstheme="minorBidi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2A273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730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A27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273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2730"/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paragraph" w:styleId="NormalWeb">
    <w:name w:val="Normal (Web)"/>
    <w:basedOn w:val="Normal"/>
    <w:uiPriority w:val="99"/>
    <w:semiHidden/>
    <w:unhideWhenUsed/>
    <w:rsid w:val="00C227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F454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F454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F4544"/>
    <w:rPr>
      <w:vertAlign w:val="superscript"/>
    </w:rPr>
  </w:style>
  <w:style w:type="paragraph" w:customStyle="1" w:styleId="xmsonormal">
    <w:name w:val="x_msonormal"/>
    <w:basedOn w:val="Normal"/>
    <w:rsid w:val="0067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DD2"/>
    <w:rPr>
      <w:rFonts w:ascii="Calibri" w:eastAsia="Calibri" w:hAnsi="Calibri" w:cs="Calibri"/>
      <w:b/>
      <w:bCs/>
      <w:lang w:val="es-ES" w:eastAsia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DD2"/>
    <w:rPr>
      <w:rFonts w:asciiTheme="minorHAnsi" w:eastAsiaTheme="minorHAnsi" w:hAnsiTheme="minorHAnsi" w:cstheme="minorBidi"/>
      <w:b/>
      <w:bCs/>
      <w:sz w:val="20"/>
      <w:szCs w:val="20"/>
      <w:lang w:val="es-CO" w:eastAsia="en-US"/>
    </w:rPr>
  </w:style>
  <w:style w:type="character" w:customStyle="1" w:styleId="normaltextrun">
    <w:name w:val="normaltextrun"/>
    <w:basedOn w:val="Fuentedeprrafopredeter"/>
    <w:rsid w:val="0003218A"/>
  </w:style>
  <w:style w:type="character" w:customStyle="1" w:styleId="eop">
    <w:name w:val="eop"/>
    <w:basedOn w:val="Fuentedeprrafopredeter"/>
    <w:rsid w:val="0003218A"/>
  </w:style>
  <w:style w:type="paragraph" w:customStyle="1" w:styleId="paragraph">
    <w:name w:val="paragraph"/>
    <w:basedOn w:val="Normal"/>
    <w:rsid w:val="0047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styleId="nfasis">
    <w:name w:val="Emphasis"/>
    <w:basedOn w:val="Fuentedeprrafopredeter"/>
    <w:uiPriority w:val="20"/>
    <w:qFormat/>
    <w:rsid w:val="00215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8672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59893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0501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2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9825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6110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jjacome\Downloads\Datos%20para%20informe%20de%20PAA%202022-III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jjacome\Downloads\Datos%20para%20informe%20de%20PAA%202022-III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jjacome\Downloads\Datos%20para%20informe%20de%20PAA%202022-III%20(1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jjacome\Downloads\Datos%20para%20informe%20de%20PAA%202022-III%20(1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jjacome\Downloads\Datos%20para%20informe%20de%20PAA%202022-III%20(1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jjacome\Downloads\Datos%20para%20informe%20de%20PAA%202022-III%20(1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713096614481388"/>
          <c:y val="5.1291445319655612E-2"/>
          <c:w val="0.46648550000970129"/>
          <c:h val="0.9193991573548269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'[Datos para informe de PAA 2022-III (1).xlsx]Por dependencia'!$C$3</c:f>
              <c:strCache>
                <c:ptCount val="1"/>
                <c:pt idx="0">
                  <c:v>Esperado Corte Septiembre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'[Datos para informe de PAA 2022-III (1).xlsx]Por dependencia'!$B$4:$B$15</c:f>
              <c:strCache>
                <c:ptCount val="12"/>
                <c:pt idx="0">
                  <c:v>DIRECCIÓN DE ENERGÍA ELÉCTRICA</c:v>
                </c:pt>
                <c:pt idx="1">
                  <c:v>DIRECCIÓN DE FORMALIZACIÓN MINERA</c:v>
                </c:pt>
                <c:pt idx="2">
                  <c:v>DIRECCIÓN DE HIDROCARBUROS</c:v>
                </c:pt>
                <c:pt idx="3">
                  <c:v>DIRECCIÓN DE MINERÍA EMPRESARIAL</c:v>
                </c:pt>
                <c:pt idx="4">
                  <c:v>OFICINA DE ASUNTOS AMBIENTALES Y SOCIALES</c:v>
                </c:pt>
                <c:pt idx="5">
                  <c:v>OFICINA DE ASUNTOS REGULATORIOS Y EMPRESARIALES</c:v>
                </c:pt>
                <c:pt idx="6">
                  <c:v>GRUPO DE EJECUCIÓN ESTRATÉGICA DEL SECTOR EXTRACTIVO</c:v>
                </c:pt>
                <c:pt idx="7">
                  <c:v>GRUPO DE RELACIONAMIENTO CON EL CIUDADANO Y GESTIÓN DE LA INFORMACIÓN</c:v>
                </c:pt>
                <c:pt idx="8">
                  <c:v>GRUPO DE ASUNTOS LEGISLATIVOS</c:v>
                </c:pt>
                <c:pt idx="9">
                  <c:v>GRUPO DE COMUNICACIÓN Y PRENSA</c:v>
                </c:pt>
                <c:pt idx="10">
                  <c:v>GRUPO DE EJECUCIÓN PRESUPUESTAL</c:v>
                </c:pt>
                <c:pt idx="11">
                  <c:v>GRUPO DE GESTIÓN CONTRACTUAL</c:v>
                </c:pt>
              </c:strCache>
            </c:strRef>
          </c:cat>
          <c:val>
            <c:numRef>
              <c:f>'[Datos para informe de PAA 2022-III (1).xlsx]Por dependencia'!$C$4:$C$15</c:f>
              <c:numCache>
                <c:formatCode>0.0%</c:formatCode>
                <c:ptCount val="12"/>
                <c:pt idx="0">
                  <c:v>9.9080450720858138E-2</c:v>
                </c:pt>
                <c:pt idx="1">
                  <c:v>7.7777777777777779E-2</c:v>
                </c:pt>
                <c:pt idx="2">
                  <c:v>0.86792452830188682</c:v>
                </c:pt>
                <c:pt idx="3">
                  <c:v>0.45533333333333326</c:v>
                </c:pt>
                <c:pt idx="4">
                  <c:v>0.63118279569892477</c:v>
                </c:pt>
                <c:pt idx="5">
                  <c:v>0.76836734693877573</c:v>
                </c:pt>
                <c:pt idx="6">
                  <c:v>0.47957983193277315</c:v>
                </c:pt>
                <c:pt idx="7">
                  <c:v>0.39090909090909087</c:v>
                </c:pt>
                <c:pt idx="8">
                  <c:v>0.83333333333333337</c:v>
                </c:pt>
                <c:pt idx="9">
                  <c:v>0.2121212121212121</c:v>
                </c:pt>
                <c:pt idx="10">
                  <c:v>0.7</c:v>
                </c:pt>
                <c:pt idx="11">
                  <c:v>0.24242424242424243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F4-4A08-96D0-D7B5A64C5E28}"/>
            </c:ext>
          </c:extLst>
        </c:ser>
        <c:ser>
          <c:idx val="1"/>
          <c:order val="1"/>
          <c:tx>
            <c:strRef>
              <c:f>'[Datos para informe de PAA 2022-III (1).xlsx]Por dependencia'!$D$3</c:f>
              <c:strCache>
                <c:ptCount val="1"/>
                <c:pt idx="0">
                  <c:v>Ejecutado Corte Septiembre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'[Datos para informe de PAA 2022-III (1).xlsx]Por dependencia'!$B$4:$B$15</c:f>
              <c:strCache>
                <c:ptCount val="12"/>
                <c:pt idx="0">
                  <c:v>DIRECCIÓN DE ENERGÍA ELÉCTRICA</c:v>
                </c:pt>
                <c:pt idx="1">
                  <c:v>DIRECCIÓN DE FORMALIZACIÓN MINERA</c:v>
                </c:pt>
                <c:pt idx="2">
                  <c:v>DIRECCIÓN DE HIDROCARBUROS</c:v>
                </c:pt>
                <c:pt idx="3">
                  <c:v>DIRECCIÓN DE MINERÍA EMPRESARIAL</c:v>
                </c:pt>
                <c:pt idx="4">
                  <c:v>OFICINA DE ASUNTOS AMBIENTALES Y SOCIALES</c:v>
                </c:pt>
                <c:pt idx="5">
                  <c:v>OFICINA DE ASUNTOS REGULATORIOS Y EMPRESARIALES</c:v>
                </c:pt>
                <c:pt idx="6">
                  <c:v>GRUPO DE EJECUCIÓN ESTRATÉGICA DEL SECTOR EXTRACTIVO</c:v>
                </c:pt>
                <c:pt idx="7">
                  <c:v>GRUPO DE RELACIONAMIENTO CON EL CIUDADANO Y GESTIÓN DE LA INFORMACIÓN</c:v>
                </c:pt>
                <c:pt idx="8">
                  <c:v>GRUPO DE ASUNTOS LEGISLATIVOS</c:v>
                </c:pt>
                <c:pt idx="9">
                  <c:v>GRUPO DE COMUNICACIÓN Y PRENSA</c:v>
                </c:pt>
                <c:pt idx="10">
                  <c:v>GRUPO DE EJECUCIÓN PRESUPUESTAL</c:v>
                </c:pt>
                <c:pt idx="11">
                  <c:v>GRUPO DE GESTIÓN CONTRACTUAL</c:v>
                </c:pt>
              </c:strCache>
            </c:strRef>
          </c:cat>
          <c:val>
            <c:numRef>
              <c:f>'[Datos para informe de PAA 2022-III (1).xlsx]Por dependencia'!$D$4:$D$15</c:f>
              <c:numCache>
                <c:formatCode>0.0%</c:formatCode>
                <c:ptCount val="12"/>
                <c:pt idx="0">
                  <c:v>0.43024166127048175</c:v>
                </c:pt>
                <c:pt idx="1">
                  <c:v>0.25</c:v>
                </c:pt>
                <c:pt idx="2">
                  <c:v>0.56879693157995037</c:v>
                </c:pt>
                <c:pt idx="3">
                  <c:v>0.35937333333333332</c:v>
                </c:pt>
                <c:pt idx="4">
                  <c:v>0.70989247311827974</c:v>
                </c:pt>
                <c:pt idx="5">
                  <c:v>0.78988095238095224</c:v>
                </c:pt>
                <c:pt idx="6">
                  <c:v>0.60501400560224083</c:v>
                </c:pt>
                <c:pt idx="7">
                  <c:v>0.5757575757575758</c:v>
                </c:pt>
                <c:pt idx="8">
                  <c:v>0.83333333333333337</c:v>
                </c:pt>
                <c:pt idx="9">
                  <c:v>0.28030303030303028</c:v>
                </c:pt>
                <c:pt idx="10">
                  <c:v>0.7</c:v>
                </c:pt>
                <c:pt idx="11">
                  <c:v>0.33333333333333331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F4-4A08-96D0-D7B5A64C5E2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642977136"/>
        <c:axId val="1642977968"/>
      </c:barChart>
      <c:catAx>
        <c:axId val="1642977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642977968"/>
        <c:crosses val="autoZero"/>
        <c:auto val="1"/>
        <c:lblAlgn val="ctr"/>
        <c:lblOffset val="100"/>
        <c:noMultiLvlLbl val="0"/>
      </c:catAx>
      <c:valAx>
        <c:axId val="1642977968"/>
        <c:scaling>
          <c:orientation val="minMax"/>
          <c:max val="1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1642977136"/>
        <c:crosses val="autoZero"/>
        <c:crossBetween val="between"/>
        <c:majorUnit val="0.2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800"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37664821901611"/>
          <c:y val="4.5804024210698513E-2"/>
          <c:w val="0.47046462285416235"/>
          <c:h val="0.8258699995234114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'[Datos para informe de PAA 2022-III (1).xlsx]Por dependencia'!$C$3</c:f>
              <c:strCache>
                <c:ptCount val="1"/>
                <c:pt idx="0">
                  <c:v>Esperado Corte Septiembre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'[Datos para informe de PAA 2022-III (1).xlsx]Por dependencia'!$B$16:$B$26</c:f>
              <c:strCache>
                <c:ptCount val="11"/>
                <c:pt idx="0">
                  <c:v>OFICINA DE CONTROL INTERNO DISCIPLINARIO</c:v>
                </c:pt>
                <c:pt idx="1">
                  <c:v>GRUPO DE GESTIÓN FINANCIERA Y CONTABLE</c:v>
                </c:pt>
                <c:pt idx="2">
                  <c:v>GRUPO DE INFRAESTRUCTURA TECNOLÓGICA</c:v>
                </c:pt>
                <c:pt idx="3">
                  <c:v>SUBDIRECCIÓN ADMINISTRATIVA Y FINANCIERA</c:v>
                </c:pt>
                <c:pt idx="4">
                  <c:v>GRUPO DE SERVICIOS ADMINISTRATIVOS</c:v>
                </c:pt>
                <c:pt idx="5">
                  <c:v>GRUPO UNIDAD DE RESULTADOS</c:v>
                </c:pt>
                <c:pt idx="6">
                  <c:v>OFICINA ASESORA JURÍDICA</c:v>
                </c:pt>
                <c:pt idx="7">
                  <c:v>OFICINA DE CONTROL INTERNO</c:v>
                </c:pt>
                <c:pt idx="8">
                  <c:v>OFICINA DE PLANEACIÓN Y GESTIÓN INTERNACIONAL</c:v>
                </c:pt>
                <c:pt idx="9">
                  <c:v>SUBDIRECCIÓN DE TALENTO HUMANO</c:v>
                </c:pt>
                <c:pt idx="10">
                  <c:v>VICEMINISTRO DE MINAS</c:v>
                </c:pt>
              </c:strCache>
            </c:strRef>
          </c:cat>
          <c:val>
            <c:numRef>
              <c:f>'[Datos para informe de PAA 2022-III (1).xlsx]Por dependencia'!$C$16:$C$26</c:f>
              <c:numCache>
                <c:formatCode>0.0%</c:formatCode>
                <c:ptCount val="11"/>
                <c:pt idx="0">
                  <c:v>0.85</c:v>
                </c:pt>
                <c:pt idx="1">
                  <c:v>0.6</c:v>
                </c:pt>
                <c:pt idx="2">
                  <c:v>0.59814814814814821</c:v>
                </c:pt>
                <c:pt idx="3">
                  <c:v>0.7</c:v>
                </c:pt>
                <c:pt idx="4">
                  <c:v>0.73499999999999999</c:v>
                </c:pt>
                <c:pt idx="5">
                  <c:v>0.65289855072463765</c:v>
                </c:pt>
                <c:pt idx="6">
                  <c:v>0.58577777777777773</c:v>
                </c:pt>
                <c:pt idx="7">
                  <c:v>0.77987012987012982</c:v>
                </c:pt>
                <c:pt idx="8">
                  <c:v>0.27777777777777779</c:v>
                </c:pt>
                <c:pt idx="9">
                  <c:v>0.60833333333333328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1A-46B0-BC07-55AC580628F2}"/>
            </c:ext>
          </c:extLst>
        </c:ser>
        <c:ser>
          <c:idx val="1"/>
          <c:order val="1"/>
          <c:tx>
            <c:strRef>
              <c:f>'[Datos para informe de PAA 2022-III (1).xlsx]Por dependencia'!$D$3</c:f>
              <c:strCache>
                <c:ptCount val="1"/>
                <c:pt idx="0">
                  <c:v>Ejecutado Corte Septiembre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'[Datos para informe de PAA 2022-III (1).xlsx]Por dependencia'!$B$16:$B$26</c:f>
              <c:strCache>
                <c:ptCount val="11"/>
                <c:pt idx="0">
                  <c:v>OFICINA DE CONTROL INTERNO DISCIPLINARIO</c:v>
                </c:pt>
                <c:pt idx="1">
                  <c:v>GRUPO DE GESTIÓN FINANCIERA Y CONTABLE</c:v>
                </c:pt>
                <c:pt idx="2">
                  <c:v>GRUPO DE INFRAESTRUCTURA TECNOLÓGICA</c:v>
                </c:pt>
                <c:pt idx="3">
                  <c:v>SUBDIRECCIÓN ADMINISTRATIVA Y FINANCIERA</c:v>
                </c:pt>
                <c:pt idx="4">
                  <c:v>GRUPO DE SERVICIOS ADMINISTRATIVOS</c:v>
                </c:pt>
                <c:pt idx="5">
                  <c:v>GRUPO UNIDAD DE RESULTADOS</c:v>
                </c:pt>
                <c:pt idx="6">
                  <c:v>OFICINA ASESORA JURÍDICA</c:v>
                </c:pt>
                <c:pt idx="7">
                  <c:v>OFICINA DE CONTROL INTERNO</c:v>
                </c:pt>
                <c:pt idx="8">
                  <c:v>OFICINA DE PLANEACIÓN Y GESTIÓN INTERNACIONAL</c:v>
                </c:pt>
                <c:pt idx="9">
                  <c:v>SUBDIRECCIÓN DE TALENTO HUMANO</c:v>
                </c:pt>
                <c:pt idx="10">
                  <c:v>VICEMINISTRO DE MINAS</c:v>
                </c:pt>
              </c:strCache>
            </c:strRef>
          </c:cat>
          <c:val>
            <c:numRef>
              <c:f>'[Datos para informe de PAA 2022-III (1).xlsx]Por dependencia'!$D$16:$D$26</c:f>
              <c:numCache>
                <c:formatCode>0.0%</c:formatCode>
                <c:ptCount val="11"/>
                <c:pt idx="0">
                  <c:v>0.85</c:v>
                </c:pt>
                <c:pt idx="1">
                  <c:v>0.6</c:v>
                </c:pt>
                <c:pt idx="2">
                  <c:v>0.74962962962962965</c:v>
                </c:pt>
                <c:pt idx="3">
                  <c:v>1</c:v>
                </c:pt>
                <c:pt idx="4">
                  <c:v>0.77333333333333332</c:v>
                </c:pt>
                <c:pt idx="5">
                  <c:v>0.70289855072463758</c:v>
                </c:pt>
                <c:pt idx="6">
                  <c:v>0.58409222222222223</c:v>
                </c:pt>
                <c:pt idx="7">
                  <c:v>0.65649350649350657</c:v>
                </c:pt>
                <c:pt idx="8">
                  <c:v>0.36046296296296299</c:v>
                </c:pt>
                <c:pt idx="9">
                  <c:v>0.48685185185185187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1A-46B0-BC07-55AC580628F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642977136"/>
        <c:axId val="1642977968"/>
      </c:barChart>
      <c:catAx>
        <c:axId val="1642977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642977968"/>
        <c:crosses val="autoZero"/>
        <c:auto val="1"/>
        <c:lblAlgn val="ctr"/>
        <c:lblOffset val="100"/>
        <c:noMultiLvlLbl val="0"/>
      </c:catAx>
      <c:valAx>
        <c:axId val="1642977968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6429771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471697940931755"/>
          <c:y val="0.95000431505852378"/>
          <c:w val="0.65639274435528139"/>
          <c:h val="4.9995684941476215E-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800"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[Datos para informe de PAA 2022-III (1).xlsx]Por proceso!TablaDinámica3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Desempeño por proceso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'Por proceso'!$B$3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'Por proceso'!$A$4:$A$20</c:f>
              <c:strCache>
                <c:ptCount val="16"/>
                <c:pt idx="0">
                  <c:v>Gestión Documental</c:v>
                </c:pt>
                <c:pt idx="1">
                  <c:v>Administración del Sistema Integrado de Gestión</c:v>
                </c:pt>
                <c:pt idx="2">
                  <c:v>Comunicación Institucional</c:v>
                </c:pt>
                <c:pt idx="3">
                  <c:v>Direccionamiento Estratégico</c:v>
                </c:pt>
                <c:pt idx="4">
                  <c:v>Gestión del Talento Humano</c:v>
                </c:pt>
                <c:pt idx="5">
                  <c:v>Formulación y adopción de políticas, planes, programas, reglamentos y lineamientos sectoriales</c:v>
                </c:pt>
                <c:pt idx="6">
                  <c:v>Ejecución de políticas, proyectos y reglamentación sectorial</c:v>
                </c:pt>
                <c:pt idx="7">
                  <c:v>Gestión Jurídica</c:v>
                </c:pt>
                <c:pt idx="8">
                  <c:v>Gestión Financiera</c:v>
                </c:pt>
                <c:pt idx="9">
                  <c:v>Auditoría y Evaluación</c:v>
                </c:pt>
                <c:pt idx="10">
                  <c:v>Gestión Tecnológica de Información y Comunicación</c:v>
                </c:pt>
                <c:pt idx="11">
                  <c:v>Gestión de Recursos Físicos</c:v>
                </c:pt>
                <c:pt idx="12">
                  <c:v>Seguimiento, vigilancia y control a políticas, planes, programas, proyectos y reglamentación sectorial</c:v>
                </c:pt>
                <c:pt idx="13">
                  <c:v>Control Interno Disciplinario</c:v>
                </c:pt>
                <c:pt idx="14">
                  <c:v>Servicio al Ciudadano</c:v>
                </c:pt>
                <c:pt idx="15">
                  <c:v>Gestión Internacional</c:v>
                </c:pt>
              </c:strCache>
            </c:strRef>
          </c:cat>
          <c:val>
            <c:numRef>
              <c:f>'Por proceso'!$B$4:$B$20</c:f>
              <c:numCache>
                <c:formatCode>0%</c:formatCode>
                <c:ptCount val="16"/>
                <c:pt idx="0">
                  <c:v>8.3333333333333329E-2</c:v>
                </c:pt>
                <c:pt idx="1">
                  <c:v>0.2</c:v>
                </c:pt>
                <c:pt idx="2">
                  <c:v>0.28030303030303028</c:v>
                </c:pt>
                <c:pt idx="3">
                  <c:v>0.44184329710144921</c:v>
                </c:pt>
                <c:pt idx="4">
                  <c:v>0.48685185185185187</c:v>
                </c:pt>
                <c:pt idx="5">
                  <c:v>0.52994871794871801</c:v>
                </c:pt>
                <c:pt idx="6">
                  <c:v>0.54743746544213856</c:v>
                </c:pt>
                <c:pt idx="7">
                  <c:v>0.58939481481481482</c:v>
                </c:pt>
                <c:pt idx="8">
                  <c:v>0.65</c:v>
                </c:pt>
                <c:pt idx="9">
                  <c:v>0.65649350649350657</c:v>
                </c:pt>
                <c:pt idx="10">
                  <c:v>0.74962962962962965</c:v>
                </c:pt>
                <c:pt idx="11">
                  <c:v>0.77333333333333332</c:v>
                </c:pt>
                <c:pt idx="12">
                  <c:v>0.77489086659184336</c:v>
                </c:pt>
                <c:pt idx="13">
                  <c:v>0.85</c:v>
                </c:pt>
                <c:pt idx="14">
                  <c:v>0.85</c:v>
                </c:pt>
                <c:pt idx="15">
                  <c:v>0.96666666666666667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B8-4460-A04A-9F5E22026E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91641135"/>
        <c:axId val="1291638223"/>
      </c:barChart>
      <c:catAx>
        <c:axId val="12916411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291638223"/>
        <c:crosses val="autoZero"/>
        <c:auto val="1"/>
        <c:lblAlgn val="ctr"/>
        <c:lblOffset val="100"/>
        <c:noMultiLvlLbl val="0"/>
      </c:catAx>
      <c:valAx>
        <c:axId val="1291638223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2916411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[Datos para informe de PAA 2022-III (1).xlsx]Por tipo de indicador!TablaDinámica2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Desempeño tipo de indicador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'Por tipo de indicador'!$B$3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'Por tipo de indicador'!$A$4:$A$10</c:f>
              <c:strCache>
                <c:ptCount val="6"/>
                <c:pt idx="0">
                  <c:v>Efectividad</c:v>
                </c:pt>
                <c:pt idx="1">
                  <c:v>Eficacia</c:v>
                </c:pt>
                <c:pt idx="2">
                  <c:v>Eficiencia </c:v>
                </c:pt>
                <c:pt idx="3">
                  <c:v>Estratégico</c:v>
                </c:pt>
                <c:pt idx="4">
                  <c:v>Producto</c:v>
                </c:pt>
                <c:pt idx="5">
                  <c:v>Resultado</c:v>
                </c:pt>
              </c:strCache>
            </c:strRef>
          </c:cat>
          <c:val>
            <c:numRef>
              <c:f>'Por tipo de indicador'!$B$4:$B$10</c:f>
              <c:numCache>
                <c:formatCode>0.0%</c:formatCode>
                <c:ptCount val="6"/>
                <c:pt idx="0">
                  <c:v>0.62243186582809229</c:v>
                </c:pt>
                <c:pt idx="1">
                  <c:v>0.56921456867155218</c:v>
                </c:pt>
                <c:pt idx="2">
                  <c:v>0.49272727272727274</c:v>
                </c:pt>
                <c:pt idx="3">
                  <c:v>0.61272141706924321</c:v>
                </c:pt>
                <c:pt idx="4">
                  <c:v>0.36312499289975664</c:v>
                </c:pt>
                <c:pt idx="5">
                  <c:v>0.55912280701754391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1E-4B79-B2E5-08244971307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65907183"/>
        <c:axId val="965902607"/>
      </c:barChart>
      <c:catAx>
        <c:axId val="96590718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965902607"/>
        <c:crosses val="autoZero"/>
        <c:auto val="1"/>
        <c:lblAlgn val="ctr"/>
        <c:lblOffset val="100"/>
        <c:noMultiLvlLbl val="0"/>
      </c:catAx>
      <c:valAx>
        <c:axId val="965902607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9659071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[Datos para informe de PAA 2022-III (1).xlsx]Por tipo de proceso!TablaDinámica4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Desempeño por tipo de proceso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'Por tipo de proceso'!$B$3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'Por tipo de proceso'!$A$4:$A$9</c:f>
              <c:strCache>
                <c:ptCount val="5"/>
                <c:pt idx="0">
                  <c:v>Especiales</c:v>
                </c:pt>
                <c:pt idx="1">
                  <c:v>Evaluación y control</c:v>
                </c:pt>
                <c:pt idx="2">
                  <c:v>Apoyo</c:v>
                </c:pt>
                <c:pt idx="3">
                  <c:v>Misional</c:v>
                </c:pt>
                <c:pt idx="4">
                  <c:v>Estratégico</c:v>
                </c:pt>
              </c:strCache>
            </c:strRef>
          </c:cat>
          <c:val>
            <c:numRef>
              <c:f>'Por tipo de proceso'!$B$4:$B$9</c:f>
              <c:numCache>
                <c:formatCode>0%</c:formatCode>
                <c:ptCount val="5"/>
                <c:pt idx="0">
                  <c:v>0.85</c:v>
                </c:pt>
                <c:pt idx="1">
                  <c:v>0.71454545454545459</c:v>
                </c:pt>
                <c:pt idx="2">
                  <c:v>0.58857441860465132</c:v>
                </c:pt>
                <c:pt idx="3">
                  <c:v>0.56629628843214608</c:v>
                </c:pt>
                <c:pt idx="4">
                  <c:v>0.38488704177323102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45-4010-BF9A-92334C8FB28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24546639"/>
        <c:axId val="709138047"/>
      </c:barChart>
      <c:catAx>
        <c:axId val="4245466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09138047"/>
        <c:crosses val="autoZero"/>
        <c:auto val="1"/>
        <c:lblAlgn val="ctr"/>
        <c:lblOffset val="100"/>
        <c:noMultiLvlLbl val="0"/>
      </c:catAx>
      <c:valAx>
        <c:axId val="7091380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245466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[Datos para informe de PAA 2022-III (1).xlsx]Objetivos de calidad!TablaDinámica1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Desempeño</a:t>
            </a:r>
            <a:r>
              <a:rPr lang="en-US" baseline="0"/>
              <a:t> Objetivos de Calidad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'Objetivos de calidad'!$B$2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'Objetivos de calidad'!$A$3:$A$8</c:f>
              <c:strCache>
                <c:ptCount val="5"/>
                <c:pt idx="0">
                  <c:v>Asegurar la funcionalidad y el desempeño del sistema de gestión para lograr la mejora continua de los procesos de la entidad con criterios de eficacia, eficiencia y efectividad</c:v>
                </c:pt>
                <c:pt idx="1">
                  <c:v>Fortalecer las competencias y el desarrollo de los Servidores Públicos, para mejorar su desempeño y la conformidad de los productos y/o servicios de la entidad</c:v>
                </c:pt>
                <c:pt idx="2">
                  <c:v>Formular y adoptar oportunamente políticas, planes, programas, proyectos, regulaciones y reglamentaciones para el sector minero y energético, de acuerdo con las directrices del Gobierno Nacional</c:v>
                </c:pt>
                <c:pt idx="3">
                  <c:v>Atender eficientemente los requerimientos de los ciudadanos, de la industria y partes interesadas, para el desarrollo y fortalecimiento del sector minero y energético a nivel nacional</c:v>
                </c:pt>
                <c:pt idx="4">
                  <c:v>Garantizar la administración eficiente y oportuna de los recursos financieros, administrativos y tecnológicos para el cumplimiento de los fines de la entidad con criterios de austeridad y transparencia</c:v>
                </c:pt>
              </c:strCache>
            </c:strRef>
          </c:cat>
          <c:val>
            <c:numRef>
              <c:f>'Objetivos de calidad'!$B$3:$B$8</c:f>
              <c:numCache>
                <c:formatCode>0.0%</c:formatCode>
                <c:ptCount val="5"/>
                <c:pt idx="0">
                  <c:v>0.46059947299077736</c:v>
                </c:pt>
                <c:pt idx="1">
                  <c:v>0.48849673202614374</c:v>
                </c:pt>
                <c:pt idx="2">
                  <c:v>0.57010856447022473</c:v>
                </c:pt>
                <c:pt idx="3">
                  <c:v>0.57659969135802469</c:v>
                </c:pt>
                <c:pt idx="4">
                  <c:v>0.63219906907760659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28-4528-874D-5D7AE66429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54413791"/>
        <c:axId val="1154423775"/>
      </c:barChart>
      <c:catAx>
        <c:axId val="11544137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154423775"/>
        <c:crosses val="autoZero"/>
        <c:auto val="1"/>
        <c:lblAlgn val="ctr"/>
        <c:lblOffset val="100"/>
        <c:noMultiLvlLbl val="0"/>
      </c:catAx>
      <c:valAx>
        <c:axId val="1154423775"/>
        <c:scaling>
          <c:orientation val="minMax"/>
          <c:max val="0.8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154413791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A1AB0-396E-491D-999A-EE979408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10</Pages>
  <Words>2471</Words>
  <Characters>13595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Gonzalez Nieto</dc:creator>
  <cp:keywords/>
  <dc:description/>
  <cp:lastModifiedBy>EDGAR JOSE JACOME CONTRERAS</cp:lastModifiedBy>
  <cp:revision>40</cp:revision>
  <cp:lastPrinted>2020-01-30T19:59:00Z</cp:lastPrinted>
  <dcterms:created xsi:type="dcterms:W3CDTF">2022-11-09T16:30:00Z</dcterms:created>
  <dcterms:modified xsi:type="dcterms:W3CDTF">2022-11-23T17:32:00Z</dcterms:modified>
</cp:coreProperties>
</file>