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5C24" w14:textId="4C937C09" w:rsidR="00E856E5" w:rsidRPr="002A3F3E" w:rsidRDefault="00E856E5" w:rsidP="004230FF">
      <w:pPr>
        <w:pStyle w:val="Textoindependiente"/>
        <w:rPr>
          <w:rFonts w:ascii="Work Sans" w:hAnsi="Work Sans"/>
          <w:sz w:val="16"/>
          <w:lang w:val="es-CO"/>
        </w:rPr>
      </w:pPr>
      <w:bookmarkStart w:id="0" w:name="_GoBack"/>
      <w:bookmarkEnd w:id="0"/>
    </w:p>
    <w:p w14:paraId="3D688B52" w14:textId="77777777" w:rsidR="00B7008A" w:rsidRPr="002A3F3E" w:rsidRDefault="00B7008A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47CE1BF0" w14:textId="77777777" w:rsidR="00B7008A" w:rsidRPr="002A3F3E" w:rsidRDefault="00B7008A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3AAE369C" w14:textId="3D9DDF6F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  <w:r w:rsidRPr="002A3F3E">
        <w:rPr>
          <w:rFonts w:ascii="Work Sans" w:hAnsi="Work Sans"/>
          <w:b/>
          <w:sz w:val="44"/>
          <w:szCs w:val="48"/>
          <w:lang w:val="es-CO"/>
        </w:rPr>
        <w:t>PLAN DE BIENESTAR SOCIAL E INCENTIVOS VIGENCIA 202</w:t>
      </w:r>
      <w:r w:rsidR="00D120E6">
        <w:rPr>
          <w:rFonts w:ascii="Work Sans" w:hAnsi="Work Sans"/>
          <w:b/>
          <w:sz w:val="44"/>
          <w:szCs w:val="48"/>
          <w:lang w:val="es-CO"/>
        </w:rPr>
        <w:t>3</w:t>
      </w:r>
    </w:p>
    <w:p w14:paraId="4871E420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54497737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216F5FC9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48BA5D96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31A4088A" w14:textId="77777777" w:rsidR="00EF7B2A" w:rsidRPr="002A3F3E" w:rsidRDefault="00EF7B2A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</w:p>
    <w:p w14:paraId="30A52CD8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  <w:r w:rsidRPr="002A3F3E">
        <w:rPr>
          <w:rFonts w:ascii="Work Sans" w:hAnsi="Work Sans"/>
          <w:b/>
          <w:sz w:val="44"/>
          <w:szCs w:val="48"/>
          <w:lang w:val="es-CO"/>
        </w:rPr>
        <w:t>MINISTERIO DE MINAS Y ENERGIA</w:t>
      </w:r>
    </w:p>
    <w:p w14:paraId="0DBB7AF4" w14:textId="77777777" w:rsidR="00E30B24" w:rsidRPr="002A3F3E" w:rsidRDefault="00E30B24" w:rsidP="00E30B24">
      <w:pPr>
        <w:pStyle w:val="Textoindependiente"/>
        <w:jc w:val="center"/>
        <w:rPr>
          <w:rFonts w:ascii="Work Sans" w:hAnsi="Work Sans" w:cs="Calibri"/>
          <w:i/>
          <w:iCs/>
          <w:color w:val="222222"/>
          <w:szCs w:val="26"/>
          <w:shd w:val="clear" w:color="auto" w:fill="FFFFFF"/>
          <w:lang w:val="es-CO"/>
        </w:rPr>
      </w:pPr>
      <w:bookmarkStart w:id="1" w:name="m_-2496657989703229164_m_-24534970207089"/>
    </w:p>
    <w:p w14:paraId="00FE2A29" w14:textId="77777777" w:rsidR="00EF7B2A" w:rsidRPr="002A3F3E" w:rsidRDefault="00EF7B2A" w:rsidP="00E30B24">
      <w:pPr>
        <w:pStyle w:val="Textoindependiente"/>
        <w:jc w:val="center"/>
        <w:rPr>
          <w:rFonts w:ascii="Work Sans" w:hAnsi="Work Sans" w:cs="Calibri"/>
          <w:i/>
          <w:iCs/>
          <w:color w:val="222222"/>
          <w:szCs w:val="26"/>
          <w:shd w:val="clear" w:color="auto" w:fill="FFFFFF"/>
          <w:lang w:val="es-CO"/>
        </w:rPr>
      </w:pPr>
    </w:p>
    <w:bookmarkEnd w:id="1"/>
    <w:p w14:paraId="4BB61CC8" w14:textId="0E316E19" w:rsidR="00E856E5" w:rsidRDefault="00E856E5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19598017" w14:textId="08411EB7" w:rsidR="00940C02" w:rsidRDefault="00940C02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4543FBFE" w14:textId="3EB66EBB" w:rsidR="00940C02" w:rsidRDefault="00940C02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77C2D864" w14:textId="77777777" w:rsidR="00940C02" w:rsidRPr="002A3F3E" w:rsidRDefault="00940C02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247AF4FB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1C15103C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6F1C9979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48"/>
          <w:szCs w:val="48"/>
          <w:lang w:val="es-CO"/>
        </w:rPr>
      </w:pPr>
    </w:p>
    <w:p w14:paraId="7A5C4348" w14:textId="274A7E41" w:rsidR="00E856E5" w:rsidRDefault="00E856E5" w:rsidP="00E856E5">
      <w:pPr>
        <w:pStyle w:val="Textoindependiente"/>
        <w:jc w:val="center"/>
        <w:rPr>
          <w:rFonts w:ascii="Work Sans" w:hAnsi="Work Sans"/>
          <w:b/>
          <w:sz w:val="44"/>
          <w:szCs w:val="48"/>
          <w:lang w:val="es-CO"/>
        </w:rPr>
      </w:pPr>
      <w:r w:rsidRPr="002A3F3E">
        <w:rPr>
          <w:rFonts w:ascii="Work Sans" w:hAnsi="Work Sans"/>
          <w:b/>
          <w:sz w:val="44"/>
          <w:szCs w:val="48"/>
          <w:lang w:val="es-CO"/>
        </w:rPr>
        <w:t>ENERO 202</w:t>
      </w:r>
      <w:r w:rsidR="00D120E6">
        <w:rPr>
          <w:rFonts w:ascii="Work Sans" w:hAnsi="Work Sans"/>
          <w:b/>
          <w:sz w:val="44"/>
          <w:szCs w:val="48"/>
          <w:lang w:val="es-CO"/>
        </w:rPr>
        <w:t>3</w:t>
      </w:r>
    </w:p>
    <w:p w14:paraId="6FDA5761" w14:textId="77777777" w:rsidR="00D120E6" w:rsidRPr="002A3F3E" w:rsidRDefault="00D120E6" w:rsidP="00E856E5">
      <w:pPr>
        <w:pStyle w:val="Textoindependiente"/>
        <w:jc w:val="center"/>
        <w:rPr>
          <w:rFonts w:ascii="Work Sans" w:hAnsi="Work Sans"/>
          <w:sz w:val="14"/>
          <w:lang w:val="es-CO"/>
        </w:rPr>
      </w:pPr>
    </w:p>
    <w:p w14:paraId="6E88446E" w14:textId="77777777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7CB6315C" w14:textId="77777777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74908AEF" w14:textId="77777777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682EDE0B" w14:textId="77777777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69094980" w14:textId="77777777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245596DB" w14:textId="126A7542" w:rsidR="00E856E5" w:rsidRPr="002A3F3E" w:rsidRDefault="00E856E5" w:rsidP="00E856E5">
      <w:pPr>
        <w:pStyle w:val="Textoindependiente"/>
        <w:rPr>
          <w:rFonts w:ascii="Work Sans" w:hAnsi="Work Sans"/>
          <w:sz w:val="16"/>
          <w:lang w:val="es-CO"/>
        </w:rPr>
      </w:pPr>
    </w:p>
    <w:p w14:paraId="4DEB2C37" w14:textId="60CFA7A0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30"/>
          <w:szCs w:val="18"/>
          <w:lang w:val="es-CO"/>
        </w:rPr>
      </w:pPr>
      <w:bookmarkStart w:id="2" w:name="_Hlk93390333"/>
      <w:r w:rsidRPr="002A3F3E">
        <w:rPr>
          <w:rFonts w:ascii="Work Sans" w:hAnsi="Work Sans"/>
          <w:b/>
          <w:sz w:val="30"/>
          <w:szCs w:val="18"/>
          <w:lang w:val="es-CO"/>
        </w:rPr>
        <w:lastRenderedPageBreak/>
        <w:t>CONTENIDO</w:t>
      </w:r>
    </w:p>
    <w:p w14:paraId="520C0668" w14:textId="77777777" w:rsidR="00E856E5" w:rsidRPr="002A3F3E" w:rsidRDefault="00E856E5" w:rsidP="00E856E5">
      <w:pPr>
        <w:pStyle w:val="Textoindependiente"/>
        <w:jc w:val="center"/>
        <w:rPr>
          <w:rFonts w:ascii="Work Sans" w:hAnsi="Work Sans"/>
          <w:b/>
          <w:sz w:val="30"/>
          <w:szCs w:val="18"/>
          <w:lang w:val="es-CO"/>
        </w:rPr>
      </w:pPr>
    </w:p>
    <w:p w14:paraId="325EA81D" w14:textId="77777777" w:rsidR="00E856E5" w:rsidRPr="002A3F3E" w:rsidRDefault="00E856E5" w:rsidP="00E856E5">
      <w:pPr>
        <w:pStyle w:val="Textoindependiente"/>
        <w:rPr>
          <w:rFonts w:ascii="Work Sans" w:hAnsi="Work Sans"/>
          <w:b/>
          <w:sz w:val="22"/>
          <w:szCs w:val="18"/>
          <w:lang w:val="es-CO"/>
        </w:rPr>
      </w:pPr>
    </w:p>
    <w:p w14:paraId="74641C53" w14:textId="77777777" w:rsidR="00E856E5" w:rsidRPr="002A3F3E" w:rsidRDefault="00E856E5" w:rsidP="00E856E5">
      <w:pPr>
        <w:pStyle w:val="Textoindependiente"/>
        <w:rPr>
          <w:rFonts w:ascii="Work Sans" w:hAnsi="Work Sans"/>
          <w:b/>
          <w:sz w:val="22"/>
          <w:szCs w:val="18"/>
          <w:lang w:val="es-CO"/>
        </w:rPr>
      </w:pPr>
    </w:p>
    <w:p w14:paraId="3F9F9A68" w14:textId="13880B82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 xml:space="preserve">INTRODUCCIÓN 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="004E418D" w:rsidRPr="002A3F3E">
        <w:rPr>
          <w:rFonts w:ascii="Work Sans" w:hAnsi="Work Sans"/>
          <w:sz w:val="22"/>
          <w:szCs w:val="18"/>
          <w:lang w:val="es-CO"/>
        </w:rPr>
        <w:t>3</w:t>
      </w:r>
    </w:p>
    <w:p w14:paraId="68F3642A" w14:textId="112B3FF5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 xml:space="preserve">MARCO LEGAL 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72ED1">
        <w:rPr>
          <w:rFonts w:ascii="Work Sans" w:hAnsi="Work Sans"/>
          <w:sz w:val="22"/>
          <w:szCs w:val="18"/>
          <w:lang w:val="es-CO"/>
        </w:rPr>
        <w:t>3</w:t>
      </w:r>
    </w:p>
    <w:p w14:paraId="5C569E09" w14:textId="652E4587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OBJETIVOS.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280E68" w:rsidRPr="002A3F3E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="00184215">
        <w:rPr>
          <w:rFonts w:ascii="Work Sans" w:hAnsi="Work Sans"/>
          <w:sz w:val="22"/>
          <w:szCs w:val="18"/>
          <w:lang w:val="es-CO"/>
        </w:rPr>
        <w:t>7</w:t>
      </w:r>
    </w:p>
    <w:p w14:paraId="01F9A600" w14:textId="0E7B2381" w:rsidR="00E856E5" w:rsidRPr="002A3F3E" w:rsidRDefault="00E856E5" w:rsidP="00E856E5">
      <w:pPr>
        <w:pStyle w:val="Textoindependiente"/>
        <w:numPr>
          <w:ilvl w:val="1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Objetivos Generales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>8</w:t>
      </w:r>
    </w:p>
    <w:p w14:paraId="61620299" w14:textId="3F11CDA5" w:rsidR="00E856E5" w:rsidRPr="002A3F3E" w:rsidRDefault="00E856E5" w:rsidP="00E856E5">
      <w:pPr>
        <w:pStyle w:val="Textoindependiente"/>
        <w:numPr>
          <w:ilvl w:val="1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Objetivos Específicos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280E68" w:rsidRPr="002A3F3E">
        <w:rPr>
          <w:rFonts w:ascii="Work Sans" w:hAnsi="Work Sans"/>
          <w:sz w:val="22"/>
          <w:szCs w:val="18"/>
          <w:lang w:val="es-CO"/>
        </w:rPr>
        <w:tab/>
      </w:r>
      <w:r w:rsidR="00280E68" w:rsidRPr="002A3F3E">
        <w:rPr>
          <w:rFonts w:ascii="Work Sans" w:hAnsi="Work Sans"/>
          <w:sz w:val="22"/>
          <w:szCs w:val="18"/>
          <w:lang w:val="es-CO"/>
        </w:rPr>
        <w:tab/>
      </w:r>
      <w:r w:rsidR="00280E68" w:rsidRPr="002A3F3E">
        <w:rPr>
          <w:rFonts w:ascii="Work Sans" w:hAnsi="Work Sans"/>
          <w:sz w:val="22"/>
          <w:szCs w:val="18"/>
          <w:lang w:val="es-CO"/>
        </w:rPr>
        <w:tab/>
      </w:r>
      <w:r w:rsidR="00280E68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72ED1">
        <w:rPr>
          <w:rFonts w:ascii="Work Sans" w:hAnsi="Work Sans"/>
          <w:sz w:val="22"/>
          <w:szCs w:val="18"/>
          <w:lang w:val="es-CO"/>
        </w:rPr>
        <w:t>8</w:t>
      </w:r>
      <w:r w:rsidRPr="002A3F3E">
        <w:rPr>
          <w:rFonts w:ascii="Work Sans" w:hAnsi="Work Sans"/>
          <w:sz w:val="22"/>
          <w:szCs w:val="18"/>
          <w:lang w:val="es-CO"/>
        </w:rPr>
        <w:t xml:space="preserve"> </w:t>
      </w:r>
    </w:p>
    <w:p w14:paraId="080A950F" w14:textId="374D4AD5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JUSTIFICACIÓN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B42B2D">
        <w:rPr>
          <w:rFonts w:ascii="Work Sans" w:hAnsi="Work Sans"/>
          <w:sz w:val="22"/>
          <w:szCs w:val="18"/>
          <w:lang w:val="es-CO"/>
        </w:rPr>
        <w:t>8</w:t>
      </w:r>
    </w:p>
    <w:p w14:paraId="19051307" w14:textId="3B2E3AF0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DIAGNOSTICO.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  <w:t xml:space="preserve">                   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CE4357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184215">
        <w:rPr>
          <w:rFonts w:ascii="Work Sans" w:hAnsi="Work Sans"/>
          <w:sz w:val="22"/>
          <w:szCs w:val="18"/>
          <w:lang w:val="es-CO"/>
        </w:rPr>
        <w:t>9</w:t>
      </w:r>
    </w:p>
    <w:p w14:paraId="72B7BE52" w14:textId="3865AACC" w:rsidR="00E856E5" w:rsidRPr="002A3F3E" w:rsidRDefault="00E856E5" w:rsidP="00E856E5">
      <w:pPr>
        <w:pStyle w:val="Textoindependiente"/>
        <w:numPr>
          <w:ilvl w:val="1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Situación actual de la planta de personal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B42B2D">
        <w:rPr>
          <w:rFonts w:ascii="Work Sans" w:hAnsi="Work Sans"/>
          <w:sz w:val="22"/>
          <w:szCs w:val="18"/>
          <w:lang w:val="es-CO"/>
        </w:rPr>
        <w:t>9</w:t>
      </w:r>
    </w:p>
    <w:p w14:paraId="405F9C83" w14:textId="2ED86E54" w:rsidR="00AD2573" w:rsidRPr="002A3F3E" w:rsidRDefault="00AD2573" w:rsidP="00E856E5">
      <w:pPr>
        <w:pStyle w:val="Textoindependiente"/>
        <w:numPr>
          <w:ilvl w:val="1"/>
          <w:numId w:val="12"/>
        </w:numPr>
        <w:rPr>
          <w:rFonts w:ascii="Work Sans" w:hAnsi="Work Sans"/>
          <w:bCs/>
          <w:sz w:val="22"/>
          <w:szCs w:val="18"/>
          <w:lang w:val="es-CO"/>
        </w:rPr>
      </w:pPr>
      <w:r w:rsidRPr="002A3F3E">
        <w:rPr>
          <w:rFonts w:ascii="Work Sans" w:hAnsi="Work Sans"/>
          <w:bCs/>
          <w:sz w:val="22"/>
          <w:szCs w:val="22"/>
          <w:lang w:val="es-CO"/>
        </w:rPr>
        <w:t>Índice de desempeño Institucional</w:t>
      </w:r>
      <w:r w:rsidRPr="002A3F3E">
        <w:rPr>
          <w:rFonts w:ascii="Work Sans" w:hAnsi="Work Sans"/>
          <w:bCs/>
          <w:sz w:val="22"/>
          <w:szCs w:val="22"/>
          <w:lang w:val="es-CO"/>
        </w:rPr>
        <w:tab/>
      </w:r>
      <w:r w:rsidRPr="002A3F3E">
        <w:rPr>
          <w:rFonts w:ascii="Work Sans" w:hAnsi="Work Sans"/>
          <w:bCs/>
          <w:sz w:val="22"/>
          <w:szCs w:val="22"/>
          <w:lang w:val="es-CO"/>
        </w:rPr>
        <w:tab/>
      </w:r>
      <w:r w:rsidRPr="002A3F3E">
        <w:rPr>
          <w:rFonts w:ascii="Work Sans" w:hAnsi="Work Sans"/>
          <w:bCs/>
          <w:sz w:val="22"/>
          <w:szCs w:val="22"/>
          <w:lang w:val="es-CO"/>
        </w:rPr>
        <w:tab/>
      </w:r>
      <w:r w:rsidRPr="002A3F3E">
        <w:rPr>
          <w:rFonts w:ascii="Work Sans" w:hAnsi="Work Sans"/>
          <w:bCs/>
          <w:sz w:val="22"/>
          <w:szCs w:val="22"/>
          <w:lang w:val="es-CO"/>
        </w:rPr>
        <w:tab/>
      </w:r>
      <w:r w:rsidRPr="002A3F3E">
        <w:rPr>
          <w:rFonts w:ascii="Work Sans" w:hAnsi="Work Sans"/>
          <w:bCs/>
          <w:sz w:val="22"/>
          <w:szCs w:val="22"/>
          <w:lang w:val="es-CO"/>
        </w:rPr>
        <w:tab/>
        <w:t>1</w:t>
      </w:r>
      <w:r w:rsidR="00436DAF">
        <w:rPr>
          <w:rFonts w:ascii="Work Sans" w:hAnsi="Work Sans"/>
          <w:bCs/>
          <w:sz w:val="22"/>
          <w:szCs w:val="22"/>
          <w:lang w:val="es-CO"/>
        </w:rPr>
        <w:t>1</w:t>
      </w:r>
    </w:p>
    <w:p w14:paraId="0E0D3445" w14:textId="6A58E2CB" w:rsidR="00E856E5" w:rsidRPr="002A3F3E" w:rsidRDefault="00E856E5" w:rsidP="00E856E5">
      <w:pPr>
        <w:pStyle w:val="Textoindependiente"/>
        <w:numPr>
          <w:ilvl w:val="1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Percepción Encuesta de Opinión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>1</w:t>
      </w:r>
      <w:r w:rsidR="00A73725">
        <w:rPr>
          <w:rFonts w:ascii="Work Sans" w:hAnsi="Work Sans"/>
          <w:sz w:val="22"/>
          <w:szCs w:val="18"/>
          <w:lang w:val="es-CO"/>
        </w:rPr>
        <w:t>2</w:t>
      </w:r>
    </w:p>
    <w:p w14:paraId="2B9B04DF" w14:textId="741A7D42" w:rsidR="00E856E5" w:rsidRPr="002A3F3E" w:rsidRDefault="00E856E5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PLAN DE BIENESTAR SOCIAL VIGENCIA 202</w:t>
      </w:r>
      <w:r w:rsidR="00AD2573" w:rsidRPr="002A3F3E">
        <w:rPr>
          <w:rFonts w:ascii="Work Sans" w:hAnsi="Work Sans"/>
          <w:sz w:val="22"/>
          <w:szCs w:val="18"/>
          <w:lang w:val="es-CO"/>
        </w:rPr>
        <w:t>2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2ED1">
        <w:rPr>
          <w:rFonts w:ascii="Work Sans" w:hAnsi="Work Sans"/>
          <w:sz w:val="22"/>
          <w:szCs w:val="18"/>
          <w:lang w:val="es-CO"/>
        </w:rPr>
        <w:t>5</w:t>
      </w:r>
    </w:p>
    <w:p w14:paraId="7516B5A0" w14:textId="46E415CC" w:rsidR="00E856E5" w:rsidRPr="002A3F3E" w:rsidRDefault="00E856E5" w:rsidP="00E856E5">
      <w:pPr>
        <w:pStyle w:val="Textoindependiente"/>
        <w:ind w:left="720"/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 xml:space="preserve">6.1. </w:t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bCs/>
          <w:sz w:val="22"/>
          <w:szCs w:val="22"/>
          <w:lang w:val="es-CO"/>
        </w:rPr>
        <w:t>Equilibrio Psicosocial</w:t>
      </w:r>
      <w:r w:rsidR="00AD2573" w:rsidRPr="002A3F3E">
        <w:rPr>
          <w:rFonts w:ascii="Work Sans" w:hAnsi="Work Sans"/>
          <w:b/>
          <w:sz w:val="22"/>
          <w:szCs w:val="22"/>
          <w:lang w:val="es-CO"/>
        </w:rPr>
        <w:tab/>
      </w:r>
      <w:r w:rsidR="00AD2573" w:rsidRPr="002A3F3E">
        <w:rPr>
          <w:rFonts w:ascii="Work Sans" w:hAnsi="Work Sans"/>
          <w:b/>
          <w:sz w:val="22"/>
          <w:szCs w:val="22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3725">
        <w:rPr>
          <w:rFonts w:ascii="Work Sans" w:hAnsi="Work Sans"/>
          <w:sz w:val="22"/>
          <w:szCs w:val="18"/>
          <w:lang w:val="es-CO"/>
        </w:rPr>
        <w:t>6</w:t>
      </w:r>
    </w:p>
    <w:p w14:paraId="0342BA6F" w14:textId="078B3440" w:rsidR="00E856E5" w:rsidRPr="002A3F3E" w:rsidRDefault="00E856E5" w:rsidP="00E856E5">
      <w:pPr>
        <w:pStyle w:val="Textoindependiente"/>
        <w:ind w:left="720"/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6.2</w:t>
      </w:r>
      <w:r w:rsidR="00AD2573" w:rsidRPr="002A3F3E">
        <w:rPr>
          <w:rFonts w:ascii="Work Sans" w:hAnsi="Work Sans"/>
          <w:sz w:val="22"/>
          <w:szCs w:val="18"/>
          <w:lang w:val="es-CO"/>
        </w:rPr>
        <w:t xml:space="preserve">. </w:t>
      </w:r>
      <w:r w:rsidR="00AD2573" w:rsidRPr="002A3F3E">
        <w:rPr>
          <w:rFonts w:ascii="Work Sans" w:hAnsi="Work Sans"/>
          <w:sz w:val="22"/>
          <w:szCs w:val="18"/>
          <w:lang w:val="es-CO"/>
        </w:rPr>
        <w:tab/>
        <w:t>Salud Mental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2ED1">
        <w:rPr>
          <w:rFonts w:ascii="Work Sans" w:hAnsi="Work Sans"/>
          <w:sz w:val="22"/>
          <w:szCs w:val="18"/>
          <w:lang w:val="es-CO"/>
        </w:rPr>
        <w:t>6</w:t>
      </w:r>
    </w:p>
    <w:p w14:paraId="31F6D8D1" w14:textId="02C34DDD" w:rsidR="00E856E5" w:rsidRPr="002A3F3E" w:rsidRDefault="00E856E5" w:rsidP="00E856E5">
      <w:pPr>
        <w:pStyle w:val="Textoindependiente"/>
        <w:ind w:left="720"/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 xml:space="preserve">6.3. </w:t>
      </w:r>
      <w:r w:rsidR="00AD2573" w:rsidRPr="002A3F3E">
        <w:rPr>
          <w:rFonts w:ascii="Work Sans" w:hAnsi="Work Sans"/>
          <w:sz w:val="22"/>
          <w:szCs w:val="18"/>
          <w:lang w:val="es-CO"/>
        </w:rPr>
        <w:tab/>
        <w:t>Convivencia Social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>1</w:t>
      </w:r>
      <w:r w:rsidR="00A73725">
        <w:rPr>
          <w:rFonts w:ascii="Work Sans" w:hAnsi="Work Sans"/>
          <w:sz w:val="22"/>
          <w:szCs w:val="18"/>
          <w:lang w:val="es-CO"/>
        </w:rPr>
        <w:t>7</w:t>
      </w:r>
    </w:p>
    <w:p w14:paraId="6DECE055" w14:textId="138D08F8" w:rsidR="00AD2573" w:rsidRPr="002A3F3E" w:rsidRDefault="00AD2573" w:rsidP="00E856E5">
      <w:pPr>
        <w:pStyle w:val="Textoindependiente"/>
        <w:ind w:left="720"/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 xml:space="preserve">6.3.1. </w:t>
      </w:r>
      <w:r w:rsidR="00A72ED1">
        <w:rPr>
          <w:rFonts w:ascii="Work Sans" w:hAnsi="Work Sans"/>
          <w:sz w:val="22"/>
          <w:szCs w:val="18"/>
          <w:lang w:val="es-CO"/>
        </w:rPr>
        <w:t xml:space="preserve"> </w:t>
      </w:r>
      <w:r w:rsidRPr="002A3F3E">
        <w:rPr>
          <w:rFonts w:ascii="Work Sans" w:hAnsi="Work Sans"/>
          <w:sz w:val="22"/>
          <w:szCs w:val="18"/>
          <w:lang w:val="es-CO"/>
        </w:rPr>
        <w:t xml:space="preserve"> Clima Laboral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3725">
        <w:rPr>
          <w:rFonts w:ascii="Work Sans" w:hAnsi="Work Sans"/>
          <w:sz w:val="22"/>
          <w:szCs w:val="18"/>
          <w:lang w:val="es-CO"/>
        </w:rPr>
        <w:t>7</w:t>
      </w:r>
    </w:p>
    <w:p w14:paraId="6A14C3C4" w14:textId="54F61519" w:rsidR="00AD2573" w:rsidRPr="002A3F3E" w:rsidRDefault="00AD2573" w:rsidP="00E856E5">
      <w:pPr>
        <w:pStyle w:val="Textoindependiente"/>
        <w:ind w:left="720"/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6.4</w:t>
      </w:r>
      <w:r w:rsidRPr="002A3F3E">
        <w:rPr>
          <w:rFonts w:ascii="Work Sans" w:hAnsi="Work Sans"/>
          <w:sz w:val="22"/>
          <w:szCs w:val="18"/>
          <w:lang w:val="es-CO"/>
        </w:rPr>
        <w:tab/>
        <w:t>Alianzas Interinstitucionales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3725">
        <w:rPr>
          <w:rFonts w:ascii="Work Sans" w:hAnsi="Work Sans"/>
          <w:sz w:val="22"/>
          <w:szCs w:val="18"/>
          <w:lang w:val="es-CO"/>
        </w:rPr>
        <w:t>7</w:t>
      </w:r>
    </w:p>
    <w:p w14:paraId="7F8CE466" w14:textId="3F0636A3" w:rsidR="00E6773A" w:rsidRPr="002A3F3E" w:rsidRDefault="00AD2573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PLAN DE INCENTIVOS</w:t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</w:r>
      <w:r w:rsidR="00E6773A" w:rsidRPr="002A3F3E">
        <w:rPr>
          <w:rFonts w:ascii="Work Sans" w:hAnsi="Work Sans"/>
          <w:sz w:val="22"/>
          <w:szCs w:val="18"/>
          <w:lang w:val="es-CO"/>
        </w:rPr>
        <w:tab/>
        <w:t>1</w:t>
      </w:r>
      <w:r w:rsidR="00A72ED1">
        <w:rPr>
          <w:rFonts w:ascii="Work Sans" w:hAnsi="Work Sans"/>
          <w:sz w:val="22"/>
          <w:szCs w:val="18"/>
          <w:lang w:val="es-CO"/>
        </w:rPr>
        <w:t>7</w:t>
      </w:r>
    </w:p>
    <w:p w14:paraId="25C342B4" w14:textId="73A18E5D" w:rsidR="00E856E5" w:rsidRPr="002A3F3E" w:rsidRDefault="00E6773A" w:rsidP="00E856E5">
      <w:pPr>
        <w:pStyle w:val="Textoindependiente"/>
        <w:numPr>
          <w:ilvl w:val="0"/>
          <w:numId w:val="12"/>
        </w:numPr>
        <w:rPr>
          <w:rFonts w:ascii="Work Sans" w:hAnsi="Work Sans"/>
          <w:sz w:val="22"/>
          <w:szCs w:val="18"/>
          <w:lang w:val="es-CO"/>
        </w:rPr>
      </w:pPr>
      <w:r w:rsidRPr="002A3F3E">
        <w:rPr>
          <w:rFonts w:ascii="Work Sans" w:hAnsi="Work Sans"/>
          <w:sz w:val="22"/>
          <w:szCs w:val="18"/>
          <w:lang w:val="es-CO"/>
        </w:rPr>
        <w:t>DESARROLLO Y PRESUPUESTO DE ACTIVIDADES</w:t>
      </w:r>
      <w:r w:rsidR="001B657B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="00A73725">
        <w:rPr>
          <w:rFonts w:ascii="Work Sans" w:hAnsi="Work Sans"/>
          <w:sz w:val="22"/>
          <w:szCs w:val="18"/>
          <w:lang w:val="es-CO"/>
        </w:rPr>
        <w:tab/>
      </w:r>
      <w:r w:rsidRPr="002A3F3E">
        <w:rPr>
          <w:rFonts w:ascii="Work Sans" w:hAnsi="Work Sans"/>
          <w:sz w:val="22"/>
          <w:szCs w:val="18"/>
          <w:lang w:val="es-CO"/>
        </w:rPr>
        <w:t>1</w:t>
      </w:r>
      <w:r w:rsidR="00A73725">
        <w:rPr>
          <w:rFonts w:ascii="Work Sans" w:hAnsi="Work Sans"/>
          <w:sz w:val="22"/>
          <w:szCs w:val="18"/>
          <w:lang w:val="es-CO"/>
        </w:rPr>
        <w:t>8</w:t>
      </w:r>
      <w:r w:rsidRPr="002A3F3E">
        <w:rPr>
          <w:rFonts w:ascii="Work Sans" w:hAnsi="Work Sans"/>
          <w:sz w:val="22"/>
          <w:szCs w:val="18"/>
          <w:lang w:val="es-CO"/>
        </w:rPr>
        <w:t xml:space="preserve"> </w:t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bookmarkEnd w:id="2"/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  <w:r w:rsidR="00AD2573" w:rsidRPr="002A3F3E">
        <w:rPr>
          <w:rFonts w:ascii="Work Sans" w:hAnsi="Work Sans"/>
          <w:sz w:val="22"/>
          <w:szCs w:val="18"/>
          <w:lang w:val="es-CO"/>
        </w:rPr>
        <w:tab/>
      </w:r>
    </w:p>
    <w:p w14:paraId="17C14CDC" w14:textId="77777777" w:rsidR="00E856E5" w:rsidRPr="002A3F3E" w:rsidRDefault="00E856E5">
      <w:pPr>
        <w:rPr>
          <w:rFonts w:ascii="Work Sans" w:eastAsia="Times New Roman" w:hAnsi="Work Sans" w:cs="Times New Roman"/>
          <w:szCs w:val="18"/>
          <w:lang w:eastAsia="es-ES"/>
        </w:rPr>
      </w:pPr>
    </w:p>
    <w:p w14:paraId="526040F1" w14:textId="77777777" w:rsidR="00E856E5" w:rsidRPr="002A3F3E" w:rsidRDefault="00E856E5">
      <w:pPr>
        <w:rPr>
          <w:rFonts w:ascii="Work Sans" w:hAnsi="Work Sans"/>
          <w:sz w:val="16"/>
        </w:rPr>
      </w:pPr>
      <w:r w:rsidRPr="002A3F3E">
        <w:rPr>
          <w:rFonts w:ascii="Work Sans" w:hAnsi="Work Sans"/>
          <w:sz w:val="16"/>
        </w:rPr>
        <w:br w:type="page"/>
      </w:r>
    </w:p>
    <w:p w14:paraId="782E3843" w14:textId="4CCB1117" w:rsidR="00967519" w:rsidRPr="00184215" w:rsidRDefault="00967519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lastRenderedPageBreak/>
        <w:t xml:space="preserve">1. INTRODUCCIÓN </w:t>
      </w:r>
    </w:p>
    <w:p w14:paraId="6765F092" w14:textId="77777777" w:rsidR="00967519" w:rsidRPr="00184215" w:rsidRDefault="00967519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sz w:val="22"/>
          <w:szCs w:val="22"/>
          <w:lang w:val="es-CO"/>
        </w:rPr>
      </w:pPr>
    </w:p>
    <w:p w14:paraId="787CD0DF" w14:textId="77777777" w:rsidR="00967519" w:rsidRPr="00184215" w:rsidRDefault="00967519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 w:cs="Arial"/>
          <w:sz w:val="22"/>
          <w:szCs w:val="22"/>
          <w:lang w:val="es-CO"/>
        </w:rPr>
      </w:pPr>
    </w:p>
    <w:p w14:paraId="602400B1" w14:textId="637F47B1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</w:t>
      </w:r>
      <w:r w:rsidR="007F3C12" w:rsidRPr="00184215">
        <w:rPr>
          <w:rFonts w:ascii="Work Sans" w:hAnsi="Work Sans"/>
          <w:sz w:val="22"/>
          <w:szCs w:val="22"/>
          <w:lang w:val="es-CO"/>
        </w:rPr>
        <w:t>B</w:t>
      </w:r>
      <w:r w:rsidRPr="00184215">
        <w:rPr>
          <w:rFonts w:ascii="Work Sans" w:hAnsi="Work Sans"/>
          <w:sz w:val="22"/>
          <w:szCs w:val="22"/>
          <w:lang w:val="es-CO"/>
        </w:rPr>
        <w:t xml:space="preserve">ienestar </w:t>
      </w:r>
      <w:r w:rsidR="007F3C12" w:rsidRPr="00184215">
        <w:rPr>
          <w:rFonts w:ascii="Work Sans" w:hAnsi="Work Sans"/>
          <w:sz w:val="22"/>
          <w:szCs w:val="22"/>
          <w:lang w:val="es-CO"/>
        </w:rPr>
        <w:t>Social L</w:t>
      </w:r>
      <w:r w:rsidRPr="00184215">
        <w:rPr>
          <w:rFonts w:ascii="Work Sans" w:hAnsi="Work Sans"/>
          <w:sz w:val="22"/>
          <w:szCs w:val="22"/>
          <w:lang w:val="es-CO"/>
        </w:rPr>
        <w:t>aboral se constituye en un proceso permanente, orientado a crear, mantener y mejorar las condiciones que favorezcan el desarrollo integral del servidor público, el mejoramiento de su calidad de vida y el de su núcleo familiar; así como elevar los niveles de satisfacción, eficacia, eficiencia, efectividad e identificación con el s</w:t>
      </w:r>
      <w:r w:rsidR="00F61D10" w:rsidRPr="00184215">
        <w:rPr>
          <w:rFonts w:ascii="Work Sans" w:hAnsi="Work Sans"/>
          <w:sz w:val="22"/>
          <w:szCs w:val="22"/>
          <w:lang w:val="es-CO"/>
        </w:rPr>
        <w:t>ervicio que ofrece a la ciudadanía</w:t>
      </w:r>
      <w:r w:rsidRPr="00184215">
        <w:rPr>
          <w:rFonts w:ascii="Work Sans" w:hAnsi="Work Sans"/>
          <w:sz w:val="22"/>
          <w:szCs w:val="22"/>
          <w:lang w:val="es-CO"/>
        </w:rPr>
        <w:t xml:space="preserve"> en general. </w:t>
      </w:r>
    </w:p>
    <w:p w14:paraId="6100D574" w14:textId="77777777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809C00B" w14:textId="2B9762AB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El bienestar laboral es una de las </w:t>
      </w:r>
      <w:r w:rsidRPr="00184215">
        <w:rPr>
          <w:rFonts w:ascii="Work Sans" w:hAnsi="Work Sans"/>
          <w:b/>
          <w:bCs/>
          <w:sz w:val="22"/>
          <w:szCs w:val="22"/>
          <w:lang w:val="es-CO"/>
        </w:rPr>
        <w:t>claves para conseguir un equipo productivo, motivado y comprometido con la entidad</w:t>
      </w:r>
      <w:r w:rsidRPr="00184215">
        <w:rPr>
          <w:rFonts w:ascii="Work Sans" w:hAnsi="Work Sans"/>
          <w:sz w:val="22"/>
          <w:szCs w:val="22"/>
          <w:lang w:val="es-CO"/>
        </w:rPr>
        <w:t xml:space="preserve">. Cuando </w:t>
      </w:r>
      <w:r w:rsidR="00571E6E" w:rsidRPr="00184215">
        <w:rPr>
          <w:rFonts w:ascii="Work Sans" w:hAnsi="Work Sans"/>
          <w:sz w:val="22"/>
          <w:szCs w:val="22"/>
          <w:lang w:val="es-CO"/>
        </w:rPr>
        <w:t xml:space="preserve">se </w:t>
      </w:r>
      <w:r w:rsidRPr="00184215">
        <w:rPr>
          <w:rFonts w:ascii="Work Sans" w:hAnsi="Work Sans"/>
          <w:sz w:val="22"/>
          <w:szCs w:val="22"/>
          <w:lang w:val="es-CO"/>
        </w:rPr>
        <w:t>hace referencia al bienestar laboral, no solo nos r</w:t>
      </w:r>
      <w:r w:rsidR="00F61D10" w:rsidRPr="00184215">
        <w:rPr>
          <w:rFonts w:ascii="Work Sans" w:hAnsi="Work Sans"/>
          <w:sz w:val="22"/>
          <w:szCs w:val="22"/>
          <w:lang w:val="es-CO"/>
        </w:rPr>
        <w:t xml:space="preserve">eferimos a estar sanos </w:t>
      </w:r>
      <w:r w:rsidRPr="00184215">
        <w:rPr>
          <w:rFonts w:ascii="Work Sans" w:hAnsi="Work Sans"/>
          <w:sz w:val="22"/>
          <w:szCs w:val="22"/>
          <w:lang w:val="es-CO"/>
        </w:rPr>
        <w:t xml:space="preserve">y no padecer enfermedades, sino también </w:t>
      </w:r>
      <w:r w:rsidR="00571E6E" w:rsidRPr="00184215">
        <w:rPr>
          <w:rFonts w:ascii="Work Sans" w:hAnsi="Work Sans"/>
          <w:sz w:val="22"/>
          <w:szCs w:val="22"/>
          <w:lang w:val="es-CO"/>
        </w:rPr>
        <w:t xml:space="preserve">a </w:t>
      </w:r>
      <w:r w:rsidRPr="00184215">
        <w:rPr>
          <w:rFonts w:ascii="Work Sans" w:hAnsi="Work Sans"/>
          <w:sz w:val="22"/>
          <w:szCs w:val="22"/>
          <w:lang w:val="es-CO"/>
        </w:rPr>
        <w:t xml:space="preserve">un bienestar emocional que haga sentir a las personas que </w:t>
      </w:r>
      <w:r w:rsidR="00F61D10" w:rsidRPr="00184215">
        <w:rPr>
          <w:rFonts w:ascii="Work Sans" w:hAnsi="Work Sans"/>
          <w:sz w:val="22"/>
          <w:szCs w:val="22"/>
          <w:lang w:val="es-CO"/>
        </w:rPr>
        <w:t>lo que hacen laboralmente se refleja en una cultura de Felicidad</w:t>
      </w:r>
      <w:r w:rsidRPr="00184215">
        <w:rPr>
          <w:rFonts w:ascii="Work Sans" w:hAnsi="Work Sans"/>
          <w:sz w:val="22"/>
          <w:szCs w:val="22"/>
          <w:lang w:val="es-CO"/>
        </w:rPr>
        <w:t>.</w:t>
      </w:r>
    </w:p>
    <w:p w14:paraId="1EB0D474" w14:textId="77777777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85C65F1" w14:textId="74381DD0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Por lo anterior, para el Ministeri</w:t>
      </w:r>
      <w:r w:rsidR="00F61D10" w:rsidRPr="00184215">
        <w:rPr>
          <w:rFonts w:ascii="Work Sans" w:hAnsi="Work Sans"/>
          <w:sz w:val="22"/>
          <w:szCs w:val="22"/>
          <w:lang w:val="es-CO"/>
        </w:rPr>
        <w:t>o de Minas y Energía, el Talento H</w:t>
      </w:r>
      <w:r w:rsidRPr="00184215">
        <w:rPr>
          <w:rFonts w:ascii="Work Sans" w:hAnsi="Work Sans"/>
          <w:sz w:val="22"/>
          <w:szCs w:val="22"/>
          <w:lang w:val="es-CO"/>
        </w:rPr>
        <w:t>umano es el ej</w:t>
      </w:r>
      <w:r w:rsidR="00F61D10" w:rsidRPr="00184215">
        <w:rPr>
          <w:rFonts w:ascii="Work Sans" w:hAnsi="Work Sans"/>
          <w:sz w:val="22"/>
          <w:szCs w:val="22"/>
          <w:lang w:val="es-CO"/>
        </w:rPr>
        <w:t>e central para el desarrollo de su propósito</w:t>
      </w:r>
      <w:r w:rsidRPr="00184215">
        <w:rPr>
          <w:rFonts w:ascii="Work Sans" w:hAnsi="Work Sans"/>
          <w:sz w:val="22"/>
          <w:szCs w:val="22"/>
          <w:lang w:val="es-CO"/>
        </w:rPr>
        <w:t xml:space="preserve">, por ello se ha propuesto ofrecer las mejores condiciones </w:t>
      </w:r>
      <w:r w:rsidR="00F61D10" w:rsidRPr="00184215">
        <w:rPr>
          <w:rFonts w:ascii="Work Sans" w:hAnsi="Work Sans"/>
          <w:sz w:val="22"/>
          <w:szCs w:val="22"/>
          <w:lang w:val="es-CO"/>
        </w:rPr>
        <w:t>labores a efectos de</w:t>
      </w:r>
      <w:r w:rsidRPr="00184215">
        <w:rPr>
          <w:rFonts w:ascii="Work Sans" w:hAnsi="Work Sans"/>
          <w:sz w:val="22"/>
          <w:szCs w:val="22"/>
          <w:lang w:val="es-CO"/>
        </w:rPr>
        <w:t xml:space="preserve"> desarrollar las capacidades intele</w:t>
      </w:r>
      <w:r w:rsidR="00F61D10" w:rsidRPr="00184215">
        <w:rPr>
          <w:rFonts w:ascii="Work Sans" w:hAnsi="Work Sans"/>
          <w:sz w:val="22"/>
          <w:szCs w:val="22"/>
          <w:lang w:val="es-CO"/>
        </w:rPr>
        <w:t xml:space="preserve">ctuales, deportivas, culturales y </w:t>
      </w:r>
      <w:r w:rsidRPr="00184215">
        <w:rPr>
          <w:rFonts w:ascii="Work Sans" w:hAnsi="Work Sans"/>
          <w:sz w:val="22"/>
          <w:szCs w:val="22"/>
          <w:lang w:val="es-CO"/>
        </w:rPr>
        <w:t>fomentar el desarrollo de habilidades</w:t>
      </w:r>
      <w:r w:rsidR="00F61D10" w:rsidRPr="00184215">
        <w:rPr>
          <w:rFonts w:ascii="Work Sans" w:hAnsi="Work Sans"/>
          <w:sz w:val="22"/>
          <w:szCs w:val="22"/>
          <w:lang w:val="es-CO"/>
        </w:rPr>
        <w:t xml:space="preserve"> en entornos saludables que generen </w:t>
      </w:r>
      <w:r w:rsidRPr="00184215">
        <w:rPr>
          <w:rFonts w:ascii="Work Sans" w:hAnsi="Work Sans"/>
          <w:sz w:val="22"/>
          <w:szCs w:val="22"/>
          <w:lang w:val="es-CO"/>
        </w:rPr>
        <w:t>reconocimiento a la labor de sus colaboradores.</w:t>
      </w:r>
    </w:p>
    <w:p w14:paraId="5751E088" w14:textId="77777777" w:rsidR="00967519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FDC1DCE" w14:textId="11B781E3" w:rsidR="00921120" w:rsidRPr="00184215" w:rsidRDefault="0096751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El Plan de Bienestar Social e Incentivos 202</w:t>
      </w:r>
      <w:r w:rsidR="00596AC5" w:rsidRPr="00184215">
        <w:rPr>
          <w:rFonts w:ascii="Work Sans" w:hAnsi="Work Sans"/>
          <w:sz w:val="22"/>
          <w:szCs w:val="22"/>
          <w:lang w:val="es-CO"/>
        </w:rPr>
        <w:t>2</w:t>
      </w:r>
      <w:r w:rsidRPr="00184215">
        <w:rPr>
          <w:rFonts w:ascii="Work Sans" w:hAnsi="Work Sans"/>
          <w:sz w:val="22"/>
          <w:szCs w:val="22"/>
          <w:lang w:val="es-CO"/>
        </w:rPr>
        <w:t xml:space="preserve"> está encaminado al logro de las metas transformacionales a través del mejoramiento del clima organizacional, el desarrollo de incentivos, sí como la integración del trabajador y su familia con el entorno laboral, en procura del mejoramiento de los niveles de productividad</w:t>
      </w:r>
      <w:r w:rsidR="006E588E" w:rsidRPr="00184215">
        <w:rPr>
          <w:rFonts w:ascii="Work Sans" w:hAnsi="Work Sans"/>
          <w:sz w:val="22"/>
          <w:szCs w:val="22"/>
          <w:lang w:val="es-CO"/>
        </w:rPr>
        <w:t xml:space="preserve"> y dentro del marco de la estrategia de transformación cultural que se tiene prevista</w:t>
      </w:r>
      <w:r w:rsidRPr="00184215">
        <w:rPr>
          <w:rFonts w:ascii="Work Sans" w:hAnsi="Work Sans"/>
          <w:sz w:val="22"/>
          <w:szCs w:val="22"/>
          <w:lang w:val="es-CO"/>
        </w:rPr>
        <w:t xml:space="preserve">. Se fundamenta en </w:t>
      </w:r>
      <w:r w:rsidR="00596AC5" w:rsidRPr="00184215">
        <w:rPr>
          <w:rFonts w:ascii="Work Sans" w:hAnsi="Work Sans"/>
          <w:sz w:val="22"/>
          <w:szCs w:val="22"/>
          <w:lang w:val="es-CO"/>
        </w:rPr>
        <w:t xml:space="preserve">los resultados de </w:t>
      </w:r>
      <w:r w:rsidR="00921120" w:rsidRPr="00184215">
        <w:rPr>
          <w:rFonts w:ascii="Work Sans" w:hAnsi="Work Sans"/>
          <w:sz w:val="22"/>
          <w:szCs w:val="22"/>
          <w:lang w:val="es-CO"/>
        </w:rPr>
        <w:t>Encuesta sobre Ambiente y Desempeño Institucional (EDI) y el índice de desempeño institucional (IDI) que se mide anualmente a través del formulario único de reporte de avances de la gestión (FURAG), además de los diagnósticos realizados por la Secretaria General y la Subdirección de Talento Humano a lo largo de la vigencia 2021.</w:t>
      </w:r>
    </w:p>
    <w:p w14:paraId="357A6D67" w14:textId="34C3E063" w:rsidR="00184215" w:rsidRDefault="0018421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78E3797" w14:textId="2217A5BD" w:rsidR="0042455D" w:rsidRPr="00184215" w:rsidRDefault="0042455D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2. MARCO LEGAL</w:t>
      </w:r>
    </w:p>
    <w:p w14:paraId="3BF8DE0F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003DFD0F" w14:textId="19BD002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Decreto 1083 de mayo de 2015 por medio del cual se expide el Decreto Único Reglamentario del Sector de Función Pública, Titulo 10. Artículo 2.2.10.8., establece que: </w:t>
      </w:r>
    </w:p>
    <w:p w14:paraId="5FC81BB7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15F8507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b/>
          <w:i/>
          <w:sz w:val="22"/>
          <w:szCs w:val="22"/>
          <w:lang w:val="es-CO"/>
        </w:rPr>
        <w:t>“Los planes de incentivos, enmarcados dentro de los planes de bienestar social, tienen por objeto otorgar reconocimientos por el buen desempeño, propiciando así una cultura de trabajo orientada a la calidad y productividad bajo un esquema de mayor compromiso con los objetivos de las entidades”,</w:t>
      </w:r>
      <w:r w:rsidRPr="00184215">
        <w:rPr>
          <w:rFonts w:ascii="Work Sans" w:hAnsi="Work Sans"/>
          <w:sz w:val="22"/>
          <w:szCs w:val="22"/>
          <w:lang w:val="es-CO"/>
        </w:rPr>
        <w:t xml:space="preserve"> en el cual se ratifica lo dispuesto en: </w:t>
      </w:r>
    </w:p>
    <w:p w14:paraId="4D41240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ADC35B1" w14:textId="487F0DCC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La Ley 909 de 2004, en el Parágrafo del artículo 36, establece que con el propósito de elevar los niveles de eficiencia, satisfacción y desarrollo de los empleados en el desempeño de su labor y de contribuir al </w:t>
      </w:r>
      <w:r w:rsidRPr="00184215">
        <w:rPr>
          <w:rFonts w:ascii="Work Sans" w:hAnsi="Work Sans"/>
          <w:sz w:val="22"/>
          <w:szCs w:val="22"/>
          <w:lang w:val="es-CO"/>
        </w:rPr>
        <w:lastRenderedPageBreak/>
        <w:t xml:space="preserve">cumplimiento efectivo de los resultados institucionales, las entidades deberán implementar programas de bienestar e incentivos, de acuerdo con las normas vigentes y las que desarrolle la citada Ley. </w:t>
      </w:r>
    </w:p>
    <w:p w14:paraId="5710DCF7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3CF9CC31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La Ley 1010 de 2006, por medio de la cual se adoptan medidas para prevenir, corregir y sancionar el acoso laboral y otros hostigamientos en el marco de las relaciones de trabajo, tiene por objeto definir, prevenir, corregir y sancionar las diversas formas de agresión, maltrato, trato desconsiderado y ofensivo, y en general todo ultraje a la dignidad humana que se ejercen sobre quienes realizan sus actividades económicas en el contexto de una relación laboral privada y pública. Dicha Ley en su artículo 9° determina la obligación que tienen las entidades de establecer mecanismos de prevención de las conductas de acoso laboral y establecer un procedimiento interno, confidencial, conciliatorio y efectivo para superar las que ocurran en el lugar de trabajo. </w:t>
      </w:r>
    </w:p>
    <w:p w14:paraId="715314A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El Decreto Ley 1567 de 1998, regula el sistema de estímulos, los programas de bienestar social y los programas de incentivos, estableciendo lo siguiente:</w:t>
      </w:r>
    </w:p>
    <w:p w14:paraId="7B990EE1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66F506F3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“Artículo 20. Bienestar Social. Los programas de bienestar social deben organizarse a partir de las iniciativas de los servidores públicos como procesos permanentes orientados a crear, mantener y mejorar las condiciones que favorezcan el desarrollo integral del empleado, el mejoramiento de su nivel de vida y el de su familia; así mismo deben permitir elevar los niveles de satisfacción, eficacia, eficiencia, efectividad e identificación del empleado con el servicio de la entidad en la cual labora. </w:t>
      </w:r>
    </w:p>
    <w:p w14:paraId="02D8CF53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29648EA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Parágrafo. Tendrán derecho a beneficiarse de los programas de bienestar social todos los empleados de la entidad y sus familias. </w:t>
      </w:r>
    </w:p>
    <w:p w14:paraId="1E9CD34C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162D7F1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21. Finalidad de los Programas de Bienestar Social. Los programas de bienestar social que formulen las entidades deben contribuir al logro de los siguientes fines: </w:t>
      </w:r>
    </w:p>
    <w:p w14:paraId="3000BE6E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7964373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a) Propiciar condiciones en el ambiente de trabajo que favorezcan el desarrollo de la creatividad, la identidad, la participación y la seguridad laboral de los empleados de la entidad, así como la eficacia, la eficiencia y la efectividad en su desempeño. </w:t>
      </w:r>
    </w:p>
    <w:p w14:paraId="6C378B5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9EA5CB5" w14:textId="27DCB1B2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b) Fomentar la aplicación de estrategias y procesos en el ámbito laboral que contribuyan al desarrollo del potencial personal de los empleados, a generar actitudes favorables frente al servicio público y al mejoramiento continuo de la organización para el ejercicio de su función social</w:t>
      </w:r>
      <w:r w:rsidR="0071114D">
        <w:rPr>
          <w:rFonts w:ascii="Work Sans" w:hAnsi="Work Sans"/>
          <w:sz w:val="22"/>
          <w:szCs w:val="22"/>
          <w:lang w:val="es-CO"/>
        </w:rPr>
        <w:t>;</w:t>
      </w:r>
    </w:p>
    <w:p w14:paraId="777F6D10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6B6B30F" w14:textId="5899BA53" w:rsidR="0042455D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c) Desarrollar valores organizacionales en función de una cultura de servicio público que privilegie la responsabilidad social y la ética administrativa, de tal forma que se genere el compromiso institucional y el sentido de pertenencia e identidad</w:t>
      </w:r>
      <w:r w:rsidR="0071114D">
        <w:rPr>
          <w:rFonts w:ascii="Work Sans" w:hAnsi="Work Sans"/>
          <w:sz w:val="22"/>
          <w:szCs w:val="22"/>
          <w:lang w:val="es-CO"/>
        </w:rPr>
        <w:t>;</w:t>
      </w:r>
    </w:p>
    <w:p w14:paraId="502C6D05" w14:textId="77777777" w:rsidR="0071114D" w:rsidRPr="00184215" w:rsidRDefault="0071114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CD04302" w14:textId="55B69154" w:rsidR="0042455D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d) Contribuir, a través de acciones participativas basadas en la promoción y la prevención, a la construcción de un mejor nivel educativo, recreativo, habitacional y de salud de los empleados y de su grupo familiar;</w:t>
      </w:r>
    </w:p>
    <w:p w14:paraId="57F22BE4" w14:textId="77777777" w:rsidR="0071114D" w:rsidRPr="00184215" w:rsidRDefault="0071114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4D3479B1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e) Procurar la calidad y la respuesta real de los programas y los servicios sociales que prestan los organismos especializados de protección y previsión social a los empleados y a su grupo familiar, y propender por el acceso efectivo a ellos y por el cumplimiento de las normas y los procedimientos relativos al Sistema de gestión de salud y seguridad en el trabajo - SGSST. </w:t>
      </w:r>
    </w:p>
    <w:p w14:paraId="73DD469A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AEA818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22. Áreas de Intervención. Para promover una atención integral al empleado y propiciar su desempeño productivo, los programas de bienestar social que adelanten las entidades públicas deberán enmarcarse dentro del área de protección y servicios sociales y del área de calidad de vida laboral. </w:t>
      </w:r>
    </w:p>
    <w:p w14:paraId="70345B74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3A55E9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23. Área de Protección y Servicios Sociales. En esta área se deben estructurar programas mediante los cuales se atiendan las necesidades de protección, ocio, identidad y aprendizaje del empleado y su familia, para mejorar sus niveles de salud, vivienda, recreación, cultura y educación. </w:t>
      </w:r>
    </w:p>
    <w:p w14:paraId="0F4FFA2D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A3D4986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Los programas de esta área serán atendidos en forma solidaria y participativa por los organismos especializados de seguridad y previsión social o por personas naturales o jurídicas, así como por los empleados, con el apoyo y la coordinación de cada entidad.</w:t>
      </w:r>
    </w:p>
    <w:p w14:paraId="1156043C" w14:textId="77777777" w:rsidR="0042455D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A15CB17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24. Área de Calidad de Vida Laboral. El área de la calidad de vida laboral será atendida a través de programas que se ocupen de problemas y condiciones de la vida laboral de los empleados, de manera que permitan la satisfacción de sus necesidades para el desarrollo personal, profesional y organizacional. Los programas de esta área deben recibir atención prioritaria por parte de las entidades y requieren, para su desarrollo, el apoyo y la activa participación de sus directivos”. </w:t>
      </w:r>
    </w:p>
    <w:p w14:paraId="70B9808D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785961D" w14:textId="6C67BD5E" w:rsidR="00646130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Decreto 1227 de 2005, sobre el tema de bienestar social dispone lo siguiente: </w:t>
      </w:r>
    </w:p>
    <w:p w14:paraId="62D8A4F9" w14:textId="77777777" w:rsidR="0071114D" w:rsidRPr="00184215" w:rsidRDefault="0071114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8BA3C42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“Artículo 69. Las entidades deberán organizar programas de estímulos con el fin de motivar el desempeño eficaz y el compromiso de sus empleados. Los estímulos se implementarán a través de programas de bienestar social. </w:t>
      </w:r>
    </w:p>
    <w:p w14:paraId="53F2AFB1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04B0EDE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Artículo 70. Las entidades públicas, en coordinación con los organismos de seguridad y previsión social, podrán ofrecer a todos los empleados y sus familias los programas de protección y servicios sociales que se relacionan a continuación:</w:t>
      </w:r>
    </w:p>
    <w:p w14:paraId="1052717E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70.1. Deportivos, recreativos y vacacionales.</w:t>
      </w:r>
    </w:p>
    <w:p w14:paraId="7A670046" w14:textId="182FE505" w:rsidR="00646130" w:rsidRPr="00184215" w:rsidRDefault="0024515F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70.2 Artísticos</w:t>
      </w:r>
      <w:r w:rsidR="0042455D" w:rsidRPr="00184215">
        <w:rPr>
          <w:rFonts w:ascii="Work Sans" w:hAnsi="Work Sans"/>
          <w:sz w:val="22"/>
          <w:szCs w:val="22"/>
          <w:lang w:val="es-CO"/>
        </w:rPr>
        <w:t xml:space="preserve"> y culturales. </w:t>
      </w:r>
    </w:p>
    <w:p w14:paraId="1362B577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70.3. Promoción y prevención de la salud. </w:t>
      </w:r>
    </w:p>
    <w:p w14:paraId="1F572486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70.4. Capacitación informal en artes y artesanías u otras modalidades que conlleven la recreación y el bienestar del empleado y que puedan ser gestionadas en convenio con Cajas de Compensación u otros organismos que faciliten subsidios o ayudas económicas.</w:t>
      </w:r>
    </w:p>
    <w:p w14:paraId="123780A5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lastRenderedPageBreak/>
        <w:t>70.5. Promoción de programas de vivienda ofrecidos por el Fondo Nacional del Ahorro, los Fondos de Cesantías, las Cajas de Compensación Familiar u otras entidades que hagan sus veces, facilitando los trámites, la información pertinente y presentando ante dichos organismos las necesidades de vivienda de los empleados</w:t>
      </w:r>
    </w:p>
    <w:p w14:paraId="4B8CC3D6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354E80F5" w14:textId="77777777" w:rsidR="0071114D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Parágrafo 1º. Los programas de educación no formal y de educación formal básica primaria, secundaria y media, o de educación superior, estarán dirigidos únicamente a los empleados públicos.</w:t>
      </w:r>
    </w:p>
    <w:p w14:paraId="7241D6A9" w14:textId="1C16E4A6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 </w:t>
      </w:r>
    </w:p>
    <w:p w14:paraId="20002FB6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Parágrafo 2º. Para los efectos de este artículo se entenderá por familia el cónyuge o compañero(a) permanente, los padres del empleado y los hijos menores de 18 años o discapacitados mayores que dependan económicamente de él. </w:t>
      </w:r>
    </w:p>
    <w:p w14:paraId="3F5C6804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570F3047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74. Los programas de bienestar responderán a estudios técnicos que permitan, a partir de la identificación de necesidades y expectativas de los empleados, determinar actividades y grupos de beneficiarios bajo criterios de equidad, eficiencia y mayor cubrimiento institucional. </w:t>
      </w:r>
    </w:p>
    <w:p w14:paraId="5116ABD5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DCAEE68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Artículo 75. De conformidad con el artículo 24 del Decreto-ley 1567 de 1998 y con el fin de mantener niveles adecuados de calidad de vida laboral, las entidades deberán efectuar los siguientes programas: </w:t>
      </w:r>
    </w:p>
    <w:p w14:paraId="47CF561F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827CC02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75.1. Medir el clima laboral, por</w:t>
      </w:r>
      <w:r w:rsidRPr="00184215">
        <w:rPr>
          <w:sz w:val="22"/>
          <w:szCs w:val="22"/>
          <w:lang w:val="es-CO"/>
        </w:rPr>
        <w:t xml:space="preserve"> </w:t>
      </w:r>
      <w:r w:rsidRPr="00184215">
        <w:rPr>
          <w:rFonts w:ascii="Work Sans" w:hAnsi="Work Sans"/>
          <w:sz w:val="22"/>
          <w:szCs w:val="22"/>
          <w:lang w:val="es-CO"/>
        </w:rPr>
        <w:t xml:space="preserve">lo menos cada dos años y definir, ejecutar y evaluar estrategias de intervención. </w:t>
      </w:r>
    </w:p>
    <w:p w14:paraId="5F737554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75.2. Evaluar la adaptación al cambio organizacional y adelantar acciones de preparación frente al cambio y de desvinculación laboral asistida o readaptación laboral cuando se den procesos de reforma organizacional. </w:t>
      </w:r>
    </w:p>
    <w:p w14:paraId="5B9DD60A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75.3. Preparar a los pre-pensionados para el retiro del servicio. </w:t>
      </w:r>
    </w:p>
    <w:p w14:paraId="60EF5A4E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75.4. Identificar la cultura organizacional y definir los procesos para la consolidación de la cultura deseada. </w:t>
      </w:r>
    </w:p>
    <w:p w14:paraId="7A625446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75.5. Fortalecer el trabajo en equipo. </w:t>
      </w:r>
    </w:p>
    <w:p w14:paraId="7DB64D54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75.6. Adelantar programas de incentivos. </w:t>
      </w:r>
    </w:p>
    <w:p w14:paraId="2CC31E81" w14:textId="77777777" w:rsidR="00646130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Parágrafo. El Departamento Administrativo de la Función Pública desarrollará metodologías que faciliten la formulación de programas de bienestar social para los empleados y asesorará en su implantación. </w:t>
      </w:r>
    </w:p>
    <w:p w14:paraId="4C4245E5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05BEB27" w14:textId="77777777" w:rsidR="0079097B" w:rsidRPr="00184215" w:rsidRDefault="004245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Artículo 76. Los planes de incentivos, enmarcados dentro de los planes de bienestar social, tienen por objeto otorgar reconocimientos por el buen desempeño, propiciando así una cultura de trabajo orientada a la calidad y productividad bajo un esquema de mayor compromiso con los objetivos de las entidades”</w:t>
      </w:r>
      <w:r w:rsidR="00646130" w:rsidRPr="00184215">
        <w:rPr>
          <w:rFonts w:ascii="Work Sans" w:hAnsi="Work Sans"/>
          <w:sz w:val="22"/>
          <w:szCs w:val="22"/>
          <w:lang w:val="es-CO"/>
        </w:rPr>
        <w:t>.</w:t>
      </w:r>
    </w:p>
    <w:p w14:paraId="4CFD58CB" w14:textId="77777777" w:rsidR="0079097B" w:rsidRPr="00184215" w:rsidRDefault="0079097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A0F468B" w14:textId="3A89B8F8" w:rsidR="0079097B" w:rsidRPr="00184215" w:rsidRDefault="0079097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El decreto 612 de 2018 “Por el cual se fijan directrices para la integración de los planes institucionales y estratégicos al Plan de Acción por parte de las entidades del Estado” numeral" en el numeral 2.2.22.3.14., establece que las entidades públicas deberán integrar los planes institucionales y estratégicos entre los que se encuentra en el numeral 8 “Plan de Bienestar Social e Incentivos</w:t>
      </w:r>
      <w:r w:rsidRPr="00184215">
        <w:rPr>
          <w:rFonts w:ascii="Work Sans" w:hAnsi="Work Sans" w:cs="Arial"/>
          <w:color w:val="222222"/>
          <w:sz w:val="22"/>
          <w:szCs w:val="22"/>
          <w:lang w:val="es-CO" w:eastAsia="es-CO"/>
        </w:rPr>
        <w:t>”</w:t>
      </w:r>
    </w:p>
    <w:p w14:paraId="548C7B5C" w14:textId="26C513F5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63CE6C26" w14:textId="4FED8D5A" w:rsidR="00646130" w:rsidRPr="00184215" w:rsidRDefault="00646130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lastRenderedPageBreak/>
        <w:t>3. OBJETIVOS</w:t>
      </w:r>
    </w:p>
    <w:p w14:paraId="0830582B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760D317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3.1. Objetivos Generales</w:t>
      </w:r>
    </w:p>
    <w:p w14:paraId="0C3A77B0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3757813" w14:textId="66C3C2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Propiciar condiciones</w:t>
      </w:r>
      <w:r w:rsidR="0079097B" w:rsidRPr="00184215">
        <w:rPr>
          <w:rFonts w:ascii="Work Sans" w:hAnsi="Work Sans"/>
          <w:sz w:val="22"/>
          <w:szCs w:val="22"/>
          <w:lang w:val="es-CO"/>
        </w:rPr>
        <w:t xml:space="preserve"> adecuadas y favorables</w:t>
      </w:r>
      <w:r w:rsidRPr="00184215">
        <w:rPr>
          <w:rFonts w:ascii="Work Sans" w:hAnsi="Work Sans"/>
          <w:sz w:val="22"/>
          <w:szCs w:val="22"/>
          <w:lang w:val="es-CO"/>
        </w:rPr>
        <w:t xml:space="preserve"> para el mejoramiento de la calidad de vida de los servidores públicos y su desempeño laboral, generando espacios de conocimiento, esparcimiento e integración familiar, a través de </w:t>
      </w:r>
      <w:r w:rsidR="002F5C99" w:rsidRPr="00184215">
        <w:rPr>
          <w:rFonts w:ascii="Work Sans" w:hAnsi="Work Sans"/>
          <w:sz w:val="22"/>
          <w:szCs w:val="22"/>
          <w:lang w:val="es-CO"/>
        </w:rPr>
        <w:t xml:space="preserve">actividades </w:t>
      </w:r>
      <w:r w:rsidRPr="00184215">
        <w:rPr>
          <w:rFonts w:ascii="Work Sans" w:hAnsi="Work Sans"/>
          <w:sz w:val="22"/>
          <w:szCs w:val="22"/>
          <w:lang w:val="es-CO"/>
        </w:rPr>
        <w:t xml:space="preserve">que fomenten el desarrollo integral del </w:t>
      </w:r>
      <w:r w:rsidR="004F198A" w:rsidRPr="00184215">
        <w:rPr>
          <w:rFonts w:ascii="Work Sans" w:hAnsi="Work Sans"/>
          <w:sz w:val="22"/>
          <w:szCs w:val="22"/>
          <w:lang w:val="es-CO"/>
        </w:rPr>
        <w:t>servidor público</w:t>
      </w:r>
      <w:r w:rsidRPr="00184215">
        <w:rPr>
          <w:rFonts w:ascii="Work Sans" w:hAnsi="Work Sans"/>
          <w:sz w:val="22"/>
          <w:szCs w:val="22"/>
          <w:lang w:val="es-CO"/>
        </w:rPr>
        <w:t xml:space="preserve">. El Programa de Bienestar Social e Incentivos del Ministerio de Minas y Energía, propenderá por generar un clima </w:t>
      </w:r>
      <w:r w:rsidR="00921120" w:rsidRPr="00184215">
        <w:rPr>
          <w:rFonts w:ascii="Work Sans" w:hAnsi="Work Sans"/>
          <w:sz w:val="22"/>
          <w:szCs w:val="22"/>
          <w:lang w:val="es-CO"/>
        </w:rPr>
        <w:t xml:space="preserve">y cultura </w:t>
      </w:r>
      <w:r w:rsidRPr="00184215">
        <w:rPr>
          <w:rFonts w:ascii="Work Sans" w:hAnsi="Work Sans"/>
          <w:sz w:val="22"/>
          <w:szCs w:val="22"/>
          <w:lang w:val="es-CO"/>
        </w:rPr>
        <w:t>organizacional que propicie en sus servidores, motivación</w:t>
      </w:r>
      <w:r w:rsidR="0079097B" w:rsidRPr="00184215">
        <w:rPr>
          <w:rFonts w:ascii="Work Sans" w:hAnsi="Work Sans"/>
          <w:sz w:val="22"/>
          <w:szCs w:val="22"/>
          <w:lang w:val="es-CO"/>
        </w:rPr>
        <w:t>, desarrollo personal</w:t>
      </w:r>
      <w:r w:rsidRPr="00184215">
        <w:rPr>
          <w:rFonts w:ascii="Work Sans" w:hAnsi="Work Sans"/>
          <w:sz w:val="22"/>
          <w:szCs w:val="22"/>
          <w:lang w:val="es-CO"/>
        </w:rPr>
        <w:t xml:space="preserve"> y calidez humana en la prestación de los servicios al interior del Ministerio.</w:t>
      </w:r>
    </w:p>
    <w:p w14:paraId="77877943" w14:textId="77777777" w:rsidR="00646130" w:rsidRPr="00184215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70344F6" w14:textId="467E2675" w:rsidR="00646130" w:rsidRDefault="0064613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Plan de Bienestar Social e Incentivos, se articula con el Plan de </w:t>
      </w:r>
      <w:r w:rsidR="0079097B" w:rsidRPr="00184215">
        <w:rPr>
          <w:rFonts w:ascii="Work Sans" w:hAnsi="Work Sans"/>
          <w:sz w:val="22"/>
          <w:szCs w:val="22"/>
          <w:lang w:val="es-CO"/>
        </w:rPr>
        <w:t>Estratégico de Talento Humano</w:t>
      </w:r>
      <w:r w:rsidRPr="00184215">
        <w:rPr>
          <w:rFonts w:ascii="Work Sans" w:hAnsi="Work Sans"/>
          <w:sz w:val="22"/>
          <w:szCs w:val="22"/>
          <w:lang w:val="es-CO"/>
        </w:rPr>
        <w:t xml:space="preserve"> </w:t>
      </w:r>
      <w:r w:rsidR="002F5C99" w:rsidRPr="00184215">
        <w:rPr>
          <w:rFonts w:ascii="Work Sans" w:hAnsi="Work Sans"/>
          <w:sz w:val="22"/>
          <w:szCs w:val="22"/>
          <w:lang w:val="es-CO"/>
        </w:rPr>
        <w:t>y las metas transformacionales de la presente vigencia.</w:t>
      </w:r>
    </w:p>
    <w:p w14:paraId="70963DAD" w14:textId="77777777" w:rsidR="000D4956" w:rsidRDefault="000D4956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9BC5B73" w14:textId="77777777" w:rsidR="00184215" w:rsidRPr="00184215" w:rsidRDefault="0018421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35ED424C" w14:textId="799864FD" w:rsidR="002F5C99" w:rsidRPr="00184215" w:rsidRDefault="002F5C9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3.2. Objetivos Específicos</w:t>
      </w:r>
    </w:p>
    <w:p w14:paraId="6667308D" w14:textId="77777777" w:rsidR="002F5C99" w:rsidRPr="00184215" w:rsidRDefault="002F5C99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737956E6" w14:textId="516C5809" w:rsidR="00646130" w:rsidRPr="00184215" w:rsidRDefault="002F5C99" w:rsidP="00184215">
      <w:pPr>
        <w:pStyle w:val="Textoindependiente"/>
        <w:numPr>
          <w:ilvl w:val="0"/>
          <w:numId w:val="6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Propiciar condiciones en el ambiente de trabajo que favorezcan el desarrollo de la creatividad, la identidad, la participación, la seguridad laboral y sobre todo el mejoramiento de la calidad de vida de los servidores públicos de la entidad, así como la eficacia, la eficiencia y la efectividad en el cumplimiento de sus funciones.</w:t>
      </w:r>
    </w:p>
    <w:p w14:paraId="734FA4A6" w14:textId="02C62C28" w:rsidR="002F5C99" w:rsidRPr="00184215" w:rsidRDefault="002F5C99" w:rsidP="00184215">
      <w:pPr>
        <w:pStyle w:val="Textoindependiente"/>
        <w:numPr>
          <w:ilvl w:val="0"/>
          <w:numId w:val="6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Fomentar la aplicación de estrategias y procesos que contribuyan al desarrollo integral de los servidores públicos, tendientes a generar actitudes favorables frente al servicio público y al mejoramiento continuo de la organización para el ejercicio de su función social.</w:t>
      </w:r>
    </w:p>
    <w:p w14:paraId="25C34DC0" w14:textId="787A157E" w:rsidR="002F5C99" w:rsidRPr="00184215" w:rsidRDefault="002F5C99" w:rsidP="00184215">
      <w:pPr>
        <w:pStyle w:val="Textoindependiente"/>
        <w:numPr>
          <w:ilvl w:val="0"/>
          <w:numId w:val="6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Desarrollar valores organizacionales en función de una cultura de servicio público, generando compromiso institucional y el sentido de pertenencia e identidad</w:t>
      </w:r>
      <w:r w:rsidR="0017718C" w:rsidRPr="00184215">
        <w:rPr>
          <w:rFonts w:ascii="Work Sans" w:hAnsi="Work Sans"/>
          <w:sz w:val="22"/>
          <w:szCs w:val="22"/>
          <w:lang w:val="es-CO"/>
        </w:rPr>
        <w:t>.</w:t>
      </w:r>
    </w:p>
    <w:p w14:paraId="144A10FA" w14:textId="55F8B985" w:rsidR="0017718C" w:rsidRPr="00184215" w:rsidRDefault="0017718C" w:rsidP="00184215">
      <w:pPr>
        <w:pStyle w:val="Textoindependiente"/>
        <w:numPr>
          <w:ilvl w:val="0"/>
          <w:numId w:val="6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Contribuir, a través de actividades participativas de promoción y prevención que fortalezcan el desarrollo y afianzamiento de habilidades de comunicación efectiva, liderazgo, trabajo en equipo, motivación, iniciativa, negociación y manejo de conflicto.</w:t>
      </w:r>
    </w:p>
    <w:p w14:paraId="7D7DE2B2" w14:textId="43044FEA" w:rsidR="0017718C" w:rsidRPr="00184215" w:rsidRDefault="0017718C" w:rsidP="00184215">
      <w:pPr>
        <w:pStyle w:val="Textoindependiente"/>
        <w:numPr>
          <w:ilvl w:val="0"/>
          <w:numId w:val="6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Establecer y desarrollar estrategias que faciliten el acompañamiento en el retiro de los servidores, así como que favorezcan la integración del personal recién vinculado y su apropiación de la cultura organizacional.</w:t>
      </w:r>
    </w:p>
    <w:p w14:paraId="288073AA" w14:textId="77777777" w:rsidR="00A3356C" w:rsidRPr="00184215" w:rsidRDefault="00A3356C" w:rsidP="00184215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6A3C6F3F" w14:textId="77777777" w:rsidR="00A3356C" w:rsidRPr="00184215" w:rsidRDefault="00A3356C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4. JUSTIFICACIÓN</w:t>
      </w:r>
    </w:p>
    <w:p w14:paraId="1C33F177" w14:textId="77777777" w:rsidR="00457AB0" w:rsidRPr="00184215" w:rsidRDefault="00457AB0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</w:p>
    <w:p w14:paraId="09EA64A1" w14:textId="77777777" w:rsidR="00A3356C" w:rsidRPr="00184215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Programa de Bienestar Social del Ministerio de Minas y Energía tiene como fundamento el reconocimiento del servidor público como un ser integral, sujeto a necesidades de índole material, social, familiar, afectivo, moral, laboral y cultural, que requiere de la creatividad, actitud y recursividad para buscar respuesta a esas necesidades, de manera que se revierta en un mejor estar consigo mismo y su entorno. </w:t>
      </w:r>
    </w:p>
    <w:p w14:paraId="0FC32F7C" w14:textId="77777777" w:rsidR="00457AB0" w:rsidRPr="00184215" w:rsidRDefault="00457A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3E4A614" w14:textId="77777777" w:rsidR="00A3356C" w:rsidRPr="00184215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lastRenderedPageBreak/>
        <w:t>Este Programa consiste en generar condiciones que garanticen el desarrollo integral de la persona, mediante la realización de actividades dirigidas a los servidores públicos y su familia, procurando la participación de los mismos, haciendo uso óptimo de los recursos, de manera que contribuyan al mejoramiento de la calidad de vida laboral de los individuos y a una mayor productividad en la Entidad.</w:t>
      </w:r>
    </w:p>
    <w:p w14:paraId="4E0165F0" w14:textId="77777777" w:rsidR="00457AB0" w:rsidRPr="00184215" w:rsidRDefault="00457A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F44BA21" w14:textId="3DF8F3D6" w:rsidR="00A3356C" w:rsidRPr="00184215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La formulación de actividades del plan de bienestar social para el 202</w:t>
      </w:r>
      <w:r w:rsidR="00E134C1">
        <w:rPr>
          <w:rFonts w:ascii="Work Sans" w:hAnsi="Work Sans"/>
          <w:sz w:val="22"/>
          <w:szCs w:val="22"/>
          <w:lang w:val="es-CO"/>
        </w:rPr>
        <w:t>3</w:t>
      </w:r>
      <w:r w:rsidRPr="00184215">
        <w:rPr>
          <w:rFonts w:ascii="Work Sans" w:hAnsi="Work Sans"/>
          <w:sz w:val="22"/>
          <w:szCs w:val="22"/>
          <w:lang w:val="es-CO"/>
        </w:rPr>
        <w:t>, se soportará en insumos tales como: El comportamiento histórico de los años anteriores, las prioridades institucionales y la encuesta de opinión sobre los programas y actividades a ser incluidas en el programa del Ministerio.</w:t>
      </w:r>
    </w:p>
    <w:p w14:paraId="26B08361" w14:textId="77777777" w:rsidR="00457AB0" w:rsidRPr="00184215" w:rsidRDefault="00457A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BF86A7A" w14:textId="77777777" w:rsidR="0071114D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En </w:t>
      </w:r>
      <w:r w:rsidR="0078125B" w:rsidRPr="00184215">
        <w:rPr>
          <w:rFonts w:ascii="Work Sans" w:hAnsi="Work Sans"/>
          <w:sz w:val="22"/>
          <w:szCs w:val="22"/>
          <w:lang w:val="es-CO"/>
        </w:rPr>
        <w:t>consecuencia,</w:t>
      </w:r>
      <w:r w:rsidRPr="00184215">
        <w:rPr>
          <w:rFonts w:ascii="Work Sans" w:hAnsi="Work Sans"/>
          <w:sz w:val="22"/>
          <w:szCs w:val="22"/>
          <w:lang w:val="es-CO"/>
        </w:rPr>
        <w:t xml:space="preserve"> las actividades del plan estarán orientadas principalmente a aumentar el conocimiento y fortalecer las habilidades, destrezas y capacidades que enriquecen tanto al individuo como al grupo en el cual se desenvuelve, lo que impactará positivamente en su desempeño y aumentará en gran medida la capacidad y satisfacción laboral generando mayor sentido de pertenencia.</w:t>
      </w:r>
    </w:p>
    <w:p w14:paraId="31FDA5E4" w14:textId="6AF1DEAC" w:rsidR="00A3356C" w:rsidRPr="00184215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 </w:t>
      </w:r>
    </w:p>
    <w:p w14:paraId="5909B541" w14:textId="657B6966" w:rsidR="008330DE" w:rsidRPr="00184215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Por otra parte, con la planeación, aprobación, implementación, aplicación y seguimiento del plan de bienestar social e incentivos, se dará cabal cumplimiento a lo dispuesto en l</w:t>
      </w:r>
      <w:r w:rsidR="008330DE" w:rsidRPr="00184215">
        <w:rPr>
          <w:rFonts w:ascii="Work Sans" w:hAnsi="Work Sans"/>
          <w:sz w:val="22"/>
          <w:szCs w:val="22"/>
          <w:lang w:val="es-CO"/>
        </w:rPr>
        <w:t>a normativa del orden nacional.</w:t>
      </w:r>
    </w:p>
    <w:p w14:paraId="4A876BEF" w14:textId="48448FA8" w:rsidR="00184215" w:rsidRPr="00184215" w:rsidRDefault="0018421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9480616" w14:textId="1ACB85C8" w:rsidR="00184215" w:rsidRPr="00184215" w:rsidRDefault="0018421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El plan de Bienestar Social en consonancia con las pautas nacionales e </w:t>
      </w:r>
      <w:r w:rsidR="00A73725" w:rsidRPr="00184215">
        <w:rPr>
          <w:rFonts w:ascii="Work Sans" w:hAnsi="Work Sans"/>
          <w:sz w:val="22"/>
          <w:szCs w:val="22"/>
          <w:lang w:val="es-CO"/>
        </w:rPr>
        <w:t>internacionales promueve</w:t>
      </w:r>
      <w:r w:rsidRPr="00184215">
        <w:rPr>
          <w:rFonts w:ascii="Work Sans" w:hAnsi="Work Sans"/>
          <w:sz w:val="22"/>
          <w:szCs w:val="22"/>
          <w:lang w:val="es-CO"/>
        </w:rPr>
        <w:t xml:space="preserve"> las oportunidades para que mujeres y hombres obtengan un trabajo decente en condiciones de libertad, equidad, seguridad y dignidad humana</w:t>
      </w:r>
    </w:p>
    <w:p w14:paraId="3C791B5A" w14:textId="77777777" w:rsidR="00BA487A" w:rsidRPr="00184215" w:rsidRDefault="00BA487A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1603377" w14:textId="0CD80587" w:rsidR="00A3356C" w:rsidRDefault="00A3356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Para el desarrollo de las actividades se utilizarán los recursos internos (tecnológicos, infraestructura y talento humano), así como recursos externos adquiridos con la Caja de Compensación Familiar.</w:t>
      </w:r>
    </w:p>
    <w:p w14:paraId="5658C48A" w14:textId="2678BA53" w:rsidR="00A73725" w:rsidRDefault="00A7372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CD5BB3E" w14:textId="4068436C" w:rsidR="00D7545D" w:rsidRPr="00184215" w:rsidRDefault="00D7545D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5. DIAGNÓSTICO</w:t>
      </w:r>
    </w:p>
    <w:p w14:paraId="72B2620B" w14:textId="77777777" w:rsidR="00D7545D" w:rsidRPr="00184215" w:rsidRDefault="00D754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7AEF50C9" w14:textId="4F20DEC8" w:rsidR="00D7545D" w:rsidRDefault="00D754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184215">
        <w:rPr>
          <w:rFonts w:ascii="Work Sans" w:hAnsi="Work Sans"/>
          <w:b/>
          <w:sz w:val="22"/>
          <w:szCs w:val="22"/>
          <w:lang w:val="es-CO"/>
        </w:rPr>
        <w:t>5.1. Situación actual de la planta de personal</w:t>
      </w:r>
    </w:p>
    <w:p w14:paraId="3B0F8B01" w14:textId="77777777" w:rsidR="00A73725" w:rsidRPr="00184215" w:rsidRDefault="00A7372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6F04FDAE" w14:textId="3BC7FFE0" w:rsidR="00D7545D" w:rsidRDefault="00D754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>El Ministerio de Minas y Energía cuenta con una planta de personal aprobada de 305 empleos, y 1</w:t>
      </w:r>
      <w:r w:rsidR="00A05D51" w:rsidRPr="00184215">
        <w:rPr>
          <w:rFonts w:ascii="Work Sans" w:hAnsi="Work Sans"/>
          <w:sz w:val="22"/>
          <w:szCs w:val="22"/>
          <w:lang w:val="es-CO"/>
        </w:rPr>
        <w:t>6</w:t>
      </w:r>
      <w:r w:rsidRPr="00184215">
        <w:rPr>
          <w:rFonts w:ascii="Work Sans" w:hAnsi="Work Sans"/>
          <w:sz w:val="22"/>
          <w:szCs w:val="22"/>
          <w:lang w:val="es-CO"/>
        </w:rPr>
        <w:t xml:space="preserve"> empleos de planta temporal, la cual, al iniciar la presente vigencia, se encuentra conformada y provistas, como se refleja </w:t>
      </w:r>
      <w:r w:rsidR="00D87620" w:rsidRPr="00184215">
        <w:rPr>
          <w:rFonts w:ascii="Work Sans" w:hAnsi="Work Sans"/>
          <w:sz w:val="22"/>
          <w:szCs w:val="22"/>
          <w:lang w:val="es-CO"/>
        </w:rPr>
        <w:t>a continuación</w:t>
      </w:r>
      <w:r w:rsidRPr="00184215">
        <w:rPr>
          <w:rFonts w:ascii="Work Sans" w:hAnsi="Work Sans"/>
          <w:sz w:val="22"/>
          <w:szCs w:val="22"/>
          <w:lang w:val="es-CO"/>
        </w:rPr>
        <w:t xml:space="preserve">. </w:t>
      </w:r>
    </w:p>
    <w:p w14:paraId="02AFF80A" w14:textId="33CB4BEF" w:rsidR="00023884" w:rsidRDefault="00023884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tbl>
      <w:tblPr>
        <w:tblW w:w="6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268"/>
        <w:gridCol w:w="1786"/>
      </w:tblGrid>
      <w:tr w:rsidR="00631BD6" w:rsidRPr="00184215" w14:paraId="7279FA75" w14:textId="77777777" w:rsidTr="00631BD6">
        <w:trPr>
          <w:trHeight w:val="365"/>
          <w:jc w:val="center"/>
        </w:trPr>
        <w:tc>
          <w:tcPr>
            <w:tcW w:w="6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66E82255" w14:textId="77777777" w:rsidR="00631BD6" w:rsidRPr="00184215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184215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A. PLANTA DE PERSONAL PROVISTA POR NIVEL JERARQUICO</w:t>
            </w:r>
          </w:p>
        </w:tc>
      </w:tr>
      <w:tr w:rsidR="00631BD6" w:rsidRPr="00184215" w14:paraId="36693B09" w14:textId="77777777" w:rsidTr="00631BD6">
        <w:trPr>
          <w:trHeight w:val="31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A43B4" w14:textId="77777777" w:rsidR="00631BD6" w:rsidRPr="00184215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184215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NIVEL</w:t>
            </w:r>
            <w:r w:rsidRPr="00184215">
              <w:rPr>
                <w:rFonts w:ascii="Tahoma" w:eastAsia="Times New Roman" w:hAnsi="Tahoma" w:cs="Tahoma"/>
                <w:color w:val="000000"/>
                <w:lang w:val="es-ES_tradnl" w:eastAsia="es-CO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42B20" w14:textId="77777777" w:rsidR="00631BD6" w:rsidRPr="00184215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184215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NÚMERO</w:t>
            </w:r>
            <w:r w:rsidRPr="00184215">
              <w:rPr>
                <w:rFonts w:ascii="Tahoma" w:eastAsia="Times New Roman" w:hAnsi="Tahoma" w:cs="Tahoma"/>
                <w:color w:val="000000"/>
                <w:lang w:val="es-ES_tradnl" w:eastAsia="es-CO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698F" w14:textId="77777777" w:rsidR="00631BD6" w:rsidRPr="00184215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184215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 xml:space="preserve">PORCENTAJE </w:t>
            </w:r>
          </w:p>
        </w:tc>
      </w:tr>
      <w:tr w:rsidR="00631BD6" w:rsidRPr="00701DF7" w14:paraId="343FA88C" w14:textId="77777777" w:rsidTr="00631BD6">
        <w:trPr>
          <w:trHeight w:val="60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AA8EC" w14:textId="43A40561" w:rsidR="00631BD6" w:rsidRPr="00701DF7" w:rsidRDefault="00631BD6" w:rsidP="0018421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kern w:val="24"/>
                <w:lang w:val="es-ES_tradnl" w:eastAsia="es-CO"/>
              </w:rPr>
              <w:t xml:space="preserve">Directivo (ministro, viceministros, Secretario General, Directores Técnicos, Jefes de Oficina, subdirectores)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7212" w14:textId="3360A98B" w:rsidR="00631BD6" w:rsidRPr="00701DF7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1</w:t>
            </w:r>
            <w:r w:rsidR="0019722E"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24FB" w14:textId="17F4AEAE" w:rsidR="00631BD6" w:rsidRPr="00701DF7" w:rsidRDefault="0019722E" w:rsidP="001842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  <w:r w:rsidR="00631BD6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631BD6" w:rsidRPr="00701DF7" w14:paraId="006FAFFC" w14:textId="77777777" w:rsidTr="00631BD6">
        <w:trPr>
          <w:trHeight w:val="60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1C3E7" w14:textId="77777777" w:rsidR="00631BD6" w:rsidRPr="00701DF7" w:rsidRDefault="00631BD6" w:rsidP="0018421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kern w:val="24"/>
                <w:lang w:val="es-ES_tradnl" w:eastAsia="es-CO"/>
              </w:rPr>
              <w:lastRenderedPageBreak/>
              <w:t xml:space="preserve">Asesor (Asesores y jefes de Oficinas Asesoras)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51B81" w14:textId="04F0C978" w:rsidR="00631BD6" w:rsidRPr="00701DF7" w:rsidRDefault="0019722E" w:rsidP="0018421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129B" w14:textId="286832E8" w:rsidR="00631BD6" w:rsidRPr="00701DF7" w:rsidRDefault="0019722E" w:rsidP="001842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9.18</w:t>
            </w:r>
            <w:r w:rsidR="00631BD6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%</w:t>
            </w:r>
          </w:p>
        </w:tc>
      </w:tr>
      <w:tr w:rsidR="00631BD6" w:rsidRPr="00701DF7" w14:paraId="7A620BF4" w14:textId="77777777" w:rsidTr="00631BD6">
        <w:trPr>
          <w:trHeight w:val="60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0AC5" w14:textId="77777777" w:rsidR="00631BD6" w:rsidRPr="00701DF7" w:rsidRDefault="00631BD6" w:rsidP="0018421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kern w:val="24"/>
                <w:lang w:val="es-ES_tradnl" w:eastAsia="es-CO"/>
              </w:rPr>
              <w:t xml:space="preserve">Profesional (Profesional Especializado y Profesional Universitario)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D188F" w14:textId="53B105D0" w:rsidR="00631BD6" w:rsidRPr="00701DF7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1</w:t>
            </w:r>
            <w:r w:rsidR="0019722E"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07F5" w14:textId="32E69E6C" w:rsidR="00631BD6" w:rsidRPr="00701DF7" w:rsidRDefault="00631BD6" w:rsidP="001842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  <w:r w:rsidR="0019722E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="0019722E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%</w:t>
            </w:r>
          </w:p>
        </w:tc>
      </w:tr>
      <w:tr w:rsidR="00631BD6" w:rsidRPr="00701DF7" w14:paraId="09FB6B99" w14:textId="77777777" w:rsidTr="00631BD6">
        <w:trPr>
          <w:trHeight w:val="60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19A8F" w14:textId="77777777" w:rsidR="00631BD6" w:rsidRPr="00701DF7" w:rsidRDefault="00631BD6" w:rsidP="0018421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kern w:val="24"/>
                <w:lang w:val="es-ES_tradnl" w:eastAsia="es-CO"/>
              </w:rPr>
              <w:t xml:space="preserve">Técnico (Técnicos Administrativos y Operativos)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330CD" w14:textId="5B461024" w:rsidR="00631BD6" w:rsidRPr="00701DF7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1</w:t>
            </w:r>
            <w:r w:rsidR="0019722E"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DB93" w14:textId="22868D2E" w:rsidR="00631BD6" w:rsidRPr="00701DF7" w:rsidRDefault="0019722E" w:rsidP="001842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  <w:r w:rsidR="00631BD6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,2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  <w:r w:rsidR="00631BD6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%</w:t>
            </w:r>
          </w:p>
        </w:tc>
      </w:tr>
      <w:tr w:rsidR="00631BD6" w:rsidRPr="00701DF7" w14:paraId="4C8FBA70" w14:textId="77777777" w:rsidTr="00631BD6">
        <w:trPr>
          <w:trHeight w:val="606"/>
          <w:jc w:val="center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B9438" w14:textId="77777777" w:rsidR="00631BD6" w:rsidRPr="00701DF7" w:rsidRDefault="00631BD6" w:rsidP="00184215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kern w:val="24"/>
                <w:lang w:val="es-ES_tradnl" w:eastAsia="es-CO"/>
              </w:rPr>
              <w:t xml:space="preserve">Asistencial (Auxiliares Administrativos, secretarios ejecutivos, Auxiliares de Servicios Generales, Conductores Mecánicos)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1CE56" w14:textId="4C18AC6C" w:rsidR="00631BD6" w:rsidRPr="00701DF7" w:rsidRDefault="0019722E" w:rsidP="00184215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>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703E" w14:textId="70F9E5BA" w:rsidR="00631BD6" w:rsidRPr="00701DF7" w:rsidRDefault="00631BD6" w:rsidP="0018421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="0019722E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="0019722E"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  <w:r w:rsidRPr="00701DF7">
              <w:rPr>
                <w:rFonts w:ascii="Calibri" w:eastAsia="Times New Roman" w:hAnsi="Calibri" w:cs="Calibri"/>
                <w:color w:val="000000"/>
                <w:lang w:eastAsia="es-CO"/>
              </w:rPr>
              <w:t>%</w:t>
            </w:r>
          </w:p>
        </w:tc>
      </w:tr>
      <w:tr w:rsidR="00631BD6" w:rsidRPr="00701DF7" w14:paraId="7CEF03F3" w14:textId="77777777" w:rsidTr="00631BD6">
        <w:trPr>
          <w:trHeight w:val="307"/>
          <w:jc w:val="center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0F03234" w14:textId="77777777" w:rsidR="00631BD6" w:rsidRPr="00701DF7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TOTAL</w:t>
            </w:r>
            <w:r w:rsidRPr="00701DF7">
              <w:rPr>
                <w:rFonts w:ascii="Tahoma" w:eastAsia="Times New Roman" w:hAnsi="Tahoma" w:cs="Tahoma"/>
                <w:color w:val="000000"/>
                <w:lang w:val="es-ES_tradnl" w:eastAsia="es-CO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9C2D4B9" w14:textId="1520005D" w:rsidR="00631BD6" w:rsidRPr="00701DF7" w:rsidRDefault="00631BD6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2</w:t>
            </w:r>
            <w:r w:rsidR="0019722E"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2267A343" w14:textId="787BB345" w:rsidR="00631BD6" w:rsidRPr="00701DF7" w:rsidRDefault="0019722E" w:rsidP="001842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85</w:t>
            </w:r>
            <w:r w:rsidR="00631BD6"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,</w:t>
            </w:r>
            <w:r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2</w:t>
            </w:r>
            <w:r w:rsidR="00631BD6" w:rsidRPr="00701DF7">
              <w:rPr>
                <w:rFonts w:ascii="Tahoma" w:eastAsia="Times New Roman" w:hAnsi="Tahoma" w:cs="Tahoma"/>
                <w:b/>
                <w:bCs/>
                <w:color w:val="000000"/>
                <w:lang w:val="es-ES_tradnl" w:eastAsia="es-CO"/>
              </w:rPr>
              <w:t>4%</w:t>
            </w:r>
          </w:p>
        </w:tc>
      </w:tr>
    </w:tbl>
    <w:p w14:paraId="7C077090" w14:textId="36598D41" w:rsidR="00921120" w:rsidRPr="00701DF7" w:rsidRDefault="00921120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sz w:val="22"/>
          <w:szCs w:val="22"/>
          <w:lang w:val="es-CO"/>
        </w:rPr>
      </w:pPr>
    </w:p>
    <w:p w14:paraId="579FA6F3" w14:textId="458B2D3A" w:rsidR="00BE5954" w:rsidRPr="00701DF7" w:rsidRDefault="00D7545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701DF7">
        <w:rPr>
          <w:rFonts w:ascii="Work Sans" w:hAnsi="Work Sans"/>
          <w:sz w:val="22"/>
          <w:szCs w:val="22"/>
          <w:lang w:val="es-CO"/>
        </w:rPr>
        <w:t xml:space="preserve">A la fecha de la elaboración del presente documento se cuenta con </w:t>
      </w:r>
      <w:r w:rsidR="0015483B" w:rsidRPr="00701DF7">
        <w:rPr>
          <w:rFonts w:ascii="Work Sans" w:hAnsi="Work Sans"/>
          <w:sz w:val="22"/>
          <w:szCs w:val="22"/>
          <w:lang w:val="es-CO"/>
        </w:rPr>
        <w:t>2</w:t>
      </w:r>
      <w:r w:rsidR="0019722E" w:rsidRPr="00701DF7">
        <w:rPr>
          <w:rFonts w:ascii="Work Sans" w:hAnsi="Work Sans"/>
          <w:sz w:val="22"/>
          <w:szCs w:val="22"/>
          <w:lang w:val="es-CO"/>
        </w:rPr>
        <w:t>60</w:t>
      </w:r>
      <w:r w:rsidRPr="00701DF7">
        <w:rPr>
          <w:rFonts w:ascii="Work Sans" w:hAnsi="Work Sans"/>
          <w:sz w:val="22"/>
          <w:szCs w:val="22"/>
          <w:lang w:val="es-CO"/>
        </w:rPr>
        <w:t xml:space="preserve"> empleos de la planta provistos,</w:t>
      </w:r>
      <w:r w:rsidR="00BE5954" w:rsidRPr="00701DF7">
        <w:rPr>
          <w:rFonts w:ascii="Work Sans" w:hAnsi="Work Sans"/>
          <w:sz w:val="22"/>
          <w:szCs w:val="22"/>
          <w:lang w:val="es-CO"/>
        </w:rPr>
        <w:t xml:space="preserve"> en el nivel directivo se encuentran provistos 1</w:t>
      </w:r>
      <w:r w:rsidR="0019722E" w:rsidRPr="00701DF7">
        <w:rPr>
          <w:rFonts w:ascii="Work Sans" w:hAnsi="Work Sans"/>
          <w:sz w:val="22"/>
          <w:szCs w:val="22"/>
          <w:lang w:val="es-CO"/>
        </w:rPr>
        <w:t>4</w:t>
      </w:r>
      <w:r w:rsidR="00BE5954" w:rsidRPr="00701DF7">
        <w:rPr>
          <w:rFonts w:ascii="Work Sans" w:hAnsi="Work Sans"/>
          <w:sz w:val="22"/>
          <w:szCs w:val="22"/>
          <w:lang w:val="es-CO"/>
        </w:rPr>
        <w:t xml:space="preserve"> empleos que representan el </w:t>
      </w:r>
      <w:r w:rsidR="0019722E" w:rsidRPr="00701DF7">
        <w:rPr>
          <w:rFonts w:ascii="Work Sans" w:hAnsi="Work Sans"/>
          <w:sz w:val="22"/>
          <w:szCs w:val="22"/>
          <w:lang w:val="es-CO"/>
        </w:rPr>
        <w:t>4</w:t>
      </w:r>
      <w:r w:rsidR="00A569AC" w:rsidRPr="00701DF7">
        <w:rPr>
          <w:rFonts w:ascii="Work Sans" w:hAnsi="Work Sans"/>
          <w:sz w:val="22"/>
          <w:szCs w:val="22"/>
          <w:lang w:val="es-CO"/>
        </w:rPr>
        <w:t>.</w:t>
      </w:r>
      <w:r w:rsidR="0019722E" w:rsidRPr="00701DF7">
        <w:rPr>
          <w:rFonts w:ascii="Work Sans" w:hAnsi="Work Sans"/>
          <w:sz w:val="22"/>
          <w:szCs w:val="22"/>
          <w:lang w:val="es-CO"/>
        </w:rPr>
        <w:t>59</w:t>
      </w:r>
      <w:r w:rsidR="00BE5954" w:rsidRPr="00701DF7">
        <w:rPr>
          <w:rFonts w:ascii="Work Sans" w:hAnsi="Work Sans"/>
          <w:sz w:val="22"/>
          <w:szCs w:val="22"/>
          <w:lang w:val="es-CO"/>
        </w:rPr>
        <w:t>%,</w:t>
      </w:r>
      <w:r w:rsidRPr="00701DF7">
        <w:rPr>
          <w:rFonts w:ascii="Work Sans" w:hAnsi="Work Sans"/>
          <w:sz w:val="22"/>
          <w:szCs w:val="22"/>
          <w:lang w:val="es-CO"/>
        </w:rPr>
        <w:t xml:space="preserve"> en el nivel asesor se encuentran vinculados </w:t>
      </w:r>
      <w:r w:rsidR="0019722E" w:rsidRPr="00701DF7">
        <w:rPr>
          <w:rFonts w:ascii="Work Sans" w:hAnsi="Work Sans"/>
          <w:sz w:val="22"/>
          <w:szCs w:val="22"/>
          <w:lang w:val="es-CO"/>
        </w:rPr>
        <w:t>28</w:t>
      </w:r>
      <w:r w:rsidRPr="00701DF7">
        <w:rPr>
          <w:rFonts w:ascii="Work Sans" w:hAnsi="Work Sans"/>
          <w:sz w:val="22"/>
          <w:szCs w:val="22"/>
          <w:lang w:val="es-CO"/>
        </w:rPr>
        <w:t xml:space="preserve"> servidores</w:t>
      </w:r>
      <w:r w:rsidR="0019722E" w:rsidRPr="00701DF7">
        <w:rPr>
          <w:rFonts w:ascii="Work Sans" w:hAnsi="Work Sans"/>
          <w:sz w:val="22"/>
          <w:szCs w:val="22"/>
          <w:lang w:val="es-CO"/>
        </w:rPr>
        <w:t xml:space="preserve"> </w:t>
      </w:r>
      <w:r w:rsidRPr="00701DF7">
        <w:rPr>
          <w:rFonts w:ascii="Work Sans" w:hAnsi="Work Sans"/>
          <w:sz w:val="22"/>
          <w:szCs w:val="22"/>
          <w:lang w:val="es-CO"/>
        </w:rPr>
        <w:t xml:space="preserve">públicos que representan el </w:t>
      </w:r>
      <w:r w:rsidR="0019722E" w:rsidRPr="00701DF7">
        <w:rPr>
          <w:rFonts w:ascii="Work Sans" w:hAnsi="Work Sans"/>
          <w:sz w:val="22"/>
          <w:szCs w:val="22"/>
          <w:lang w:val="es-CO"/>
        </w:rPr>
        <w:t>9</w:t>
      </w:r>
      <w:r w:rsidR="005C640A" w:rsidRPr="00701DF7">
        <w:rPr>
          <w:rFonts w:ascii="Work Sans" w:hAnsi="Work Sans"/>
          <w:sz w:val="22"/>
          <w:szCs w:val="22"/>
          <w:lang w:val="es-CO"/>
        </w:rPr>
        <w:t>,</w:t>
      </w:r>
      <w:r w:rsidR="0019722E" w:rsidRPr="00701DF7">
        <w:rPr>
          <w:rFonts w:ascii="Work Sans" w:hAnsi="Work Sans"/>
          <w:sz w:val="22"/>
          <w:szCs w:val="22"/>
          <w:lang w:val="es-CO"/>
        </w:rPr>
        <w:t>18</w:t>
      </w:r>
      <w:r w:rsidRPr="00701DF7">
        <w:rPr>
          <w:rFonts w:ascii="Work Sans" w:hAnsi="Work Sans"/>
          <w:sz w:val="22"/>
          <w:szCs w:val="22"/>
          <w:lang w:val="es-CO"/>
        </w:rPr>
        <w:t>%</w:t>
      </w:r>
      <w:r w:rsidR="00BE5954" w:rsidRPr="00701DF7">
        <w:rPr>
          <w:rFonts w:ascii="Work Sans" w:hAnsi="Work Sans"/>
          <w:sz w:val="22"/>
          <w:szCs w:val="22"/>
          <w:lang w:val="es-CO"/>
        </w:rPr>
        <w:t>, e</w:t>
      </w:r>
      <w:r w:rsidRPr="00701DF7">
        <w:rPr>
          <w:rFonts w:ascii="Work Sans" w:hAnsi="Work Sans"/>
          <w:sz w:val="22"/>
          <w:szCs w:val="22"/>
          <w:lang w:val="es-CO"/>
        </w:rPr>
        <w:t xml:space="preserve">l </w:t>
      </w:r>
      <w:r w:rsidR="0015483B" w:rsidRPr="00701DF7">
        <w:rPr>
          <w:rFonts w:ascii="Work Sans" w:hAnsi="Work Sans"/>
          <w:sz w:val="22"/>
          <w:szCs w:val="22"/>
          <w:lang w:val="es-CO"/>
        </w:rPr>
        <w:t>4</w:t>
      </w:r>
      <w:r w:rsidR="0019722E" w:rsidRPr="00701DF7">
        <w:rPr>
          <w:rFonts w:ascii="Work Sans" w:hAnsi="Work Sans"/>
          <w:sz w:val="22"/>
          <w:szCs w:val="22"/>
          <w:lang w:val="es-CO"/>
        </w:rPr>
        <w:t>3</w:t>
      </w:r>
      <w:r w:rsidR="00BE5954" w:rsidRPr="00701DF7">
        <w:rPr>
          <w:rFonts w:ascii="Work Sans" w:hAnsi="Work Sans"/>
          <w:sz w:val="22"/>
          <w:szCs w:val="22"/>
          <w:lang w:val="es-CO"/>
        </w:rPr>
        <w:t>.</w:t>
      </w:r>
      <w:r w:rsidR="0019722E" w:rsidRPr="00701DF7">
        <w:rPr>
          <w:rFonts w:ascii="Work Sans" w:hAnsi="Work Sans"/>
          <w:sz w:val="22"/>
          <w:szCs w:val="22"/>
          <w:lang w:val="es-CO"/>
        </w:rPr>
        <w:t>93</w:t>
      </w:r>
      <w:r w:rsidRPr="00701DF7">
        <w:rPr>
          <w:rFonts w:ascii="Work Sans" w:hAnsi="Work Sans"/>
          <w:sz w:val="22"/>
          <w:szCs w:val="22"/>
          <w:lang w:val="es-CO"/>
        </w:rPr>
        <w:t xml:space="preserve">% </w:t>
      </w:r>
      <w:r w:rsidR="00BE5954" w:rsidRPr="00701DF7">
        <w:rPr>
          <w:rFonts w:ascii="Work Sans" w:hAnsi="Work Sans"/>
          <w:sz w:val="22"/>
          <w:szCs w:val="22"/>
          <w:lang w:val="es-CO"/>
        </w:rPr>
        <w:t>s</w:t>
      </w:r>
      <w:r w:rsidRPr="00701DF7">
        <w:rPr>
          <w:rFonts w:ascii="Work Sans" w:hAnsi="Work Sans"/>
          <w:sz w:val="22"/>
          <w:szCs w:val="22"/>
          <w:lang w:val="es-CO"/>
        </w:rPr>
        <w:t xml:space="preserve">on </w:t>
      </w:r>
      <w:r w:rsidR="00BE5954" w:rsidRPr="00701DF7">
        <w:rPr>
          <w:rFonts w:ascii="Work Sans" w:hAnsi="Work Sans"/>
          <w:sz w:val="22"/>
          <w:szCs w:val="22"/>
          <w:lang w:val="es-CO"/>
        </w:rPr>
        <w:t xml:space="preserve">empleados del nivel profesional, </w:t>
      </w:r>
      <w:r w:rsidRPr="00701DF7">
        <w:rPr>
          <w:rFonts w:ascii="Work Sans" w:hAnsi="Work Sans"/>
          <w:sz w:val="22"/>
          <w:szCs w:val="22"/>
          <w:lang w:val="es-CO"/>
        </w:rPr>
        <w:t xml:space="preserve">el </w:t>
      </w:r>
      <w:r w:rsidR="0019722E" w:rsidRPr="00701DF7">
        <w:rPr>
          <w:rFonts w:ascii="Work Sans" w:hAnsi="Work Sans"/>
          <w:sz w:val="22"/>
          <w:szCs w:val="22"/>
          <w:lang w:val="es-CO"/>
        </w:rPr>
        <w:t>5</w:t>
      </w:r>
      <w:r w:rsidR="00BE5954" w:rsidRPr="00701DF7">
        <w:rPr>
          <w:rFonts w:ascii="Work Sans" w:hAnsi="Work Sans"/>
          <w:sz w:val="22"/>
          <w:szCs w:val="22"/>
          <w:lang w:val="es-CO"/>
        </w:rPr>
        <w:t>.</w:t>
      </w:r>
      <w:r w:rsidR="0015483B" w:rsidRPr="00701DF7">
        <w:rPr>
          <w:rFonts w:ascii="Work Sans" w:hAnsi="Work Sans"/>
          <w:sz w:val="22"/>
          <w:szCs w:val="22"/>
          <w:lang w:val="es-CO"/>
        </w:rPr>
        <w:t>2</w:t>
      </w:r>
      <w:r w:rsidR="0019722E" w:rsidRPr="00701DF7">
        <w:rPr>
          <w:rFonts w:ascii="Work Sans" w:hAnsi="Work Sans"/>
          <w:sz w:val="22"/>
          <w:szCs w:val="22"/>
          <w:lang w:val="es-CO"/>
        </w:rPr>
        <w:t>4</w:t>
      </w:r>
      <w:r w:rsidRPr="00701DF7">
        <w:rPr>
          <w:rFonts w:ascii="Work Sans" w:hAnsi="Work Sans"/>
          <w:sz w:val="22"/>
          <w:szCs w:val="22"/>
          <w:lang w:val="es-CO"/>
        </w:rPr>
        <w:t>% pertenecen al nivel técnico</w:t>
      </w:r>
      <w:r w:rsidR="00BE5954" w:rsidRPr="00701DF7">
        <w:rPr>
          <w:rFonts w:ascii="Work Sans" w:hAnsi="Work Sans"/>
          <w:sz w:val="22"/>
          <w:szCs w:val="22"/>
          <w:lang w:val="es-CO"/>
        </w:rPr>
        <w:t xml:space="preserve"> y </w:t>
      </w:r>
      <w:r w:rsidR="00A569AC" w:rsidRPr="00701DF7">
        <w:rPr>
          <w:rFonts w:ascii="Work Sans" w:hAnsi="Work Sans"/>
          <w:sz w:val="22"/>
          <w:szCs w:val="22"/>
          <w:lang w:val="es-CO"/>
        </w:rPr>
        <w:t>el</w:t>
      </w:r>
      <w:r w:rsidR="00BE5954" w:rsidRPr="00701DF7">
        <w:rPr>
          <w:rFonts w:ascii="Work Sans" w:hAnsi="Work Sans"/>
          <w:sz w:val="22"/>
          <w:szCs w:val="22"/>
          <w:lang w:val="es-CO"/>
        </w:rPr>
        <w:t xml:space="preserve"> nivel asistencial el 2</w:t>
      </w:r>
      <w:r w:rsidR="0019722E" w:rsidRPr="00701DF7">
        <w:rPr>
          <w:rFonts w:ascii="Work Sans" w:hAnsi="Work Sans"/>
          <w:sz w:val="22"/>
          <w:szCs w:val="22"/>
          <w:lang w:val="es-CO"/>
        </w:rPr>
        <w:t>2</w:t>
      </w:r>
      <w:r w:rsidR="00BE5954" w:rsidRPr="00701DF7">
        <w:rPr>
          <w:rFonts w:ascii="Work Sans" w:hAnsi="Work Sans"/>
          <w:sz w:val="22"/>
          <w:szCs w:val="22"/>
          <w:lang w:val="es-CO"/>
        </w:rPr>
        <w:t>.</w:t>
      </w:r>
      <w:r w:rsidR="0015483B" w:rsidRPr="00701DF7">
        <w:rPr>
          <w:rFonts w:ascii="Work Sans" w:hAnsi="Work Sans"/>
          <w:sz w:val="22"/>
          <w:szCs w:val="22"/>
          <w:lang w:val="es-CO"/>
        </w:rPr>
        <w:t>2</w:t>
      </w:r>
      <w:r w:rsidR="0019722E" w:rsidRPr="00701DF7">
        <w:rPr>
          <w:rFonts w:ascii="Work Sans" w:hAnsi="Work Sans"/>
          <w:sz w:val="22"/>
          <w:szCs w:val="22"/>
          <w:lang w:val="es-CO"/>
        </w:rPr>
        <w:t>9</w:t>
      </w:r>
      <w:r w:rsidR="00BE5954" w:rsidRPr="00701DF7">
        <w:rPr>
          <w:rFonts w:ascii="Work Sans" w:hAnsi="Work Sans"/>
          <w:sz w:val="22"/>
          <w:szCs w:val="22"/>
          <w:lang w:val="es-CO"/>
        </w:rPr>
        <w:t>%</w:t>
      </w:r>
      <w:r w:rsidRPr="00701DF7">
        <w:rPr>
          <w:rFonts w:ascii="Work Sans" w:hAnsi="Work Sans"/>
          <w:sz w:val="22"/>
          <w:szCs w:val="22"/>
          <w:lang w:val="es-CO"/>
        </w:rPr>
        <w:t xml:space="preserve">. </w:t>
      </w:r>
    </w:p>
    <w:p w14:paraId="0752F466" w14:textId="77777777" w:rsidR="001C4CCB" w:rsidRPr="00701DF7" w:rsidRDefault="001C4CC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346546B" w14:textId="290B007E" w:rsidR="00BE5954" w:rsidRPr="00701DF7" w:rsidRDefault="00BE5954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tbl>
      <w:tblPr>
        <w:tblW w:w="2893" w:type="pct"/>
        <w:tblInd w:w="1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86"/>
        <w:gridCol w:w="1597"/>
      </w:tblGrid>
      <w:tr w:rsidR="00631BD6" w:rsidRPr="00701DF7" w14:paraId="50CD8399" w14:textId="77777777" w:rsidTr="000D4956">
        <w:trPr>
          <w:trHeight w:val="7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67759" w14:textId="11910B31" w:rsidR="00631BD6" w:rsidRPr="00701DF7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B. PLANTA PROVISTA POR GÉNERO</w:t>
            </w:r>
          </w:p>
        </w:tc>
      </w:tr>
      <w:tr w:rsidR="00631BD6" w:rsidRPr="00701DF7" w14:paraId="4DC6141D" w14:textId="77777777" w:rsidTr="000D4956">
        <w:trPr>
          <w:trHeight w:val="21"/>
        </w:trPr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5E91" w14:textId="77777777" w:rsidR="00631BD6" w:rsidRPr="00701DF7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GENERO</w:t>
            </w: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 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EE6A6" w14:textId="77777777" w:rsidR="00631BD6" w:rsidRPr="00701DF7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NÚMERO</w:t>
            </w: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 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33F73" w14:textId="77777777" w:rsidR="00631BD6" w:rsidRPr="00701DF7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PORCENTAJE</w:t>
            </w: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 </w:t>
            </w:r>
          </w:p>
        </w:tc>
      </w:tr>
      <w:tr w:rsidR="00631BD6" w:rsidRPr="00701DF7" w14:paraId="7FE93A83" w14:textId="77777777" w:rsidTr="000D4956">
        <w:trPr>
          <w:trHeight w:val="133"/>
        </w:trPr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FE87C2" w14:textId="77777777" w:rsidR="00631BD6" w:rsidRPr="00701DF7" w:rsidRDefault="00631BD6" w:rsidP="00184215">
            <w:pPr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Mujeres 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AF48B" w14:textId="0E453B1F" w:rsidR="00631BD6" w:rsidRPr="00701DF7" w:rsidRDefault="002838E8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>133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E7454E1" w14:textId="16EDFE8A" w:rsidR="00631BD6" w:rsidRPr="00701DF7" w:rsidRDefault="002838E8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lang w:eastAsia="es-CO"/>
              </w:rPr>
              <w:t>51</w:t>
            </w:r>
            <w:r w:rsidR="00631BD6" w:rsidRPr="00701DF7">
              <w:rPr>
                <w:rFonts w:ascii="Tahoma" w:hAnsi="Tahoma" w:cs="Tahoma"/>
                <w:lang w:eastAsia="es-CO"/>
              </w:rPr>
              <w:t>.</w:t>
            </w:r>
            <w:r w:rsidRPr="00701DF7">
              <w:rPr>
                <w:rFonts w:ascii="Tahoma" w:hAnsi="Tahoma" w:cs="Tahoma"/>
                <w:lang w:eastAsia="es-CO"/>
              </w:rPr>
              <w:t>15</w:t>
            </w:r>
            <w:r w:rsidR="00631BD6" w:rsidRPr="00701DF7">
              <w:rPr>
                <w:rFonts w:ascii="Tahoma" w:hAnsi="Tahoma" w:cs="Tahoma"/>
                <w:lang w:eastAsia="es-CO"/>
              </w:rPr>
              <w:t>%</w:t>
            </w:r>
          </w:p>
        </w:tc>
      </w:tr>
      <w:tr w:rsidR="00631BD6" w:rsidRPr="00184215" w14:paraId="63D2A354" w14:textId="77777777" w:rsidTr="000D4956">
        <w:trPr>
          <w:trHeight w:val="36"/>
        </w:trPr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6C0AE" w14:textId="77777777" w:rsidR="00631BD6" w:rsidRPr="00701DF7" w:rsidRDefault="00631BD6" w:rsidP="00184215">
            <w:pPr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Hombres 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AAE40" w14:textId="26430BDD" w:rsidR="00631BD6" w:rsidRPr="00701DF7" w:rsidRDefault="002838E8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color w:val="000000"/>
                <w:kern w:val="24"/>
                <w:lang w:eastAsia="es-CO"/>
              </w:rPr>
              <w:t>127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8B9B54" w14:textId="460921DA" w:rsidR="00631BD6" w:rsidRPr="00701DF7" w:rsidRDefault="002838E8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701DF7">
              <w:rPr>
                <w:rFonts w:ascii="Tahoma" w:hAnsi="Tahoma" w:cs="Tahoma"/>
                <w:lang w:eastAsia="es-CO"/>
              </w:rPr>
              <w:t>48.85</w:t>
            </w:r>
            <w:r w:rsidR="00631BD6" w:rsidRPr="00701DF7">
              <w:rPr>
                <w:rFonts w:ascii="Tahoma" w:hAnsi="Tahoma" w:cs="Tahoma"/>
                <w:lang w:eastAsia="es-CO"/>
              </w:rPr>
              <w:t>%</w:t>
            </w:r>
          </w:p>
        </w:tc>
      </w:tr>
      <w:tr w:rsidR="00631BD6" w:rsidRPr="00184215" w14:paraId="445ACA42" w14:textId="77777777" w:rsidTr="000D4956">
        <w:trPr>
          <w:trHeight w:val="100"/>
        </w:trPr>
        <w:tc>
          <w:tcPr>
            <w:tcW w:w="1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0C81A" w14:textId="77777777" w:rsidR="00631BD6" w:rsidRPr="00184215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184215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TOTAL</w:t>
            </w:r>
            <w:r w:rsidRPr="00184215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 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952AE" w14:textId="77777777" w:rsidR="00631BD6" w:rsidRPr="00184215" w:rsidRDefault="00631BD6" w:rsidP="00184215">
            <w:pPr>
              <w:jc w:val="center"/>
              <w:rPr>
                <w:rFonts w:ascii="Tahoma" w:hAnsi="Tahoma" w:cs="Tahoma"/>
                <w:b/>
                <w:bCs/>
                <w:lang w:eastAsia="es-CO"/>
              </w:rPr>
            </w:pPr>
            <w:r w:rsidRPr="00184215">
              <w:rPr>
                <w:rFonts w:ascii="Tahoma" w:hAnsi="Tahoma" w:cs="Tahoma"/>
                <w:b/>
                <w:bCs/>
                <w:lang w:eastAsia="es-CO"/>
              </w:rPr>
              <w:t>285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5B0C2" w14:textId="77777777" w:rsidR="00631BD6" w:rsidRPr="00184215" w:rsidRDefault="00631BD6" w:rsidP="00184215">
            <w:pPr>
              <w:jc w:val="center"/>
              <w:rPr>
                <w:rFonts w:ascii="Tahoma" w:hAnsi="Tahoma" w:cs="Tahoma"/>
                <w:lang w:eastAsia="es-CO"/>
              </w:rPr>
            </w:pPr>
            <w:r w:rsidRPr="00184215">
              <w:rPr>
                <w:rFonts w:ascii="Tahoma" w:hAnsi="Tahoma" w:cs="Tahoma"/>
                <w:b/>
                <w:bCs/>
                <w:color w:val="000000"/>
                <w:kern w:val="24"/>
                <w:lang w:eastAsia="es-CO"/>
              </w:rPr>
              <w:t>100%</w:t>
            </w:r>
            <w:r w:rsidRPr="00184215">
              <w:rPr>
                <w:rFonts w:ascii="Tahoma" w:hAnsi="Tahoma" w:cs="Tahoma"/>
                <w:color w:val="000000"/>
                <w:kern w:val="24"/>
                <w:lang w:eastAsia="es-CO"/>
              </w:rPr>
              <w:t xml:space="preserve"> </w:t>
            </w:r>
          </w:p>
        </w:tc>
      </w:tr>
    </w:tbl>
    <w:p w14:paraId="7B001A84" w14:textId="147696DE" w:rsidR="00631BD6" w:rsidRDefault="00631BD6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48683C3" w14:textId="77777777" w:rsidR="001C4CCB" w:rsidRPr="00184215" w:rsidRDefault="001C4CC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3163D53A" w14:textId="5DA9E30A" w:rsidR="003E262C" w:rsidRDefault="003E262C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184215">
        <w:rPr>
          <w:rFonts w:ascii="Work Sans" w:hAnsi="Work Sans"/>
          <w:sz w:val="22"/>
          <w:szCs w:val="22"/>
          <w:lang w:val="es-CO"/>
        </w:rPr>
        <w:t xml:space="preserve">Por género, el </w:t>
      </w:r>
      <w:r w:rsidR="00DF3F93">
        <w:rPr>
          <w:rFonts w:ascii="Work Sans" w:hAnsi="Work Sans"/>
          <w:sz w:val="22"/>
          <w:szCs w:val="22"/>
          <w:lang w:val="es-CO"/>
        </w:rPr>
        <w:t>48.85</w:t>
      </w:r>
      <w:r w:rsidRPr="00184215">
        <w:rPr>
          <w:rFonts w:ascii="Work Sans" w:hAnsi="Work Sans"/>
          <w:sz w:val="22"/>
          <w:szCs w:val="22"/>
          <w:lang w:val="es-CO"/>
        </w:rPr>
        <w:t>% de las personas vincula</w:t>
      </w:r>
      <w:r w:rsidR="005261AF" w:rsidRPr="00184215">
        <w:rPr>
          <w:rFonts w:ascii="Work Sans" w:hAnsi="Work Sans"/>
          <w:sz w:val="22"/>
          <w:szCs w:val="22"/>
          <w:lang w:val="es-CO"/>
        </w:rPr>
        <w:t xml:space="preserve">das en la planta de personal del Ministerio de Minas y Energía </w:t>
      </w:r>
      <w:r w:rsidRPr="00184215">
        <w:rPr>
          <w:rFonts w:ascii="Work Sans" w:hAnsi="Work Sans"/>
          <w:sz w:val="22"/>
          <w:szCs w:val="22"/>
          <w:lang w:val="es-CO"/>
        </w:rPr>
        <w:t xml:space="preserve">son hombres, con un total de </w:t>
      </w:r>
      <w:r w:rsidR="005261AF" w:rsidRPr="00184215">
        <w:rPr>
          <w:rFonts w:ascii="Work Sans" w:hAnsi="Work Sans"/>
          <w:sz w:val="22"/>
          <w:szCs w:val="22"/>
          <w:lang w:val="es-CO"/>
        </w:rPr>
        <w:t>1</w:t>
      </w:r>
      <w:r w:rsidR="00DF3F93">
        <w:rPr>
          <w:rFonts w:ascii="Work Sans" w:hAnsi="Work Sans"/>
          <w:sz w:val="22"/>
          <w:szCs w:val="22"/>
          <w:lang w:val="es-CO"/>
        </w:rPr>
        <w:t>27</w:t>
      </w:r>
      <w:r w:rsidR="005261AF" w:rsidRPr="00184215">
        <w:rPr>
          <w:rFonts w:ascii="Work Sans" w:hAnsi="Work Sans"/>
          <w:sz w:val="22"/>
          <w:szCs w:val="22"/>
          <w:lang w:val="es-CO"/>
        </w:rPr>
        <w:t xml:space="preserve"> </w:t>
      </w:r>
      <w:r w:rsidRPr="00184215">
        <w:rPr>
          <w:rFonts w:ascii="Work Sans" w:hAnsi="Work Sans"/>
          <w:sz w:val="22"/>
          <w:szCs w:val="22"/>
          <w:lang w:val="es-CO"/>
        </w:rPr>
        <w:t xml:space="preserve">cargos provistos con este género y el </w:t>
      </w:r>
      <w:r w:rsidR="00DF3F93">
        <w:rPr>
          <w:rFonts w:ascii="Work Sans" w:hAnsi="Work Sans"/>
          <w:sz w:val="22"/>
          <w:szCs w:val="22"/>
          <w:lang w:val="es-CO"/>
        </w:rPr>
        <w:t>51.15</w:t>
      </w:r>
      <w:r w:rsidRPr="00184215">
        <w:rPr>
          <w:rFonts w:ascii="Work Sans" w:hAnsi="Work Sans"/>
          <w:sz w:val="22"/>
          <w:szCs w:val="22"/>
          <w:lang w:val="es-CO"/>
        </w:rPr>
        <w:t xml:space="preserve">%, esto es, </w:t>
      </w:r>
      <w:r w:rsidR="005261AF" w:rsidRPr="00184215">
        <w:rPr>
          <w:rFonts w:ascii="Work Sans" w:hAnsi="Work Sans"/>
          <w:sz w:val="22"/>
          <w:szCs w:val="22"/>
          <w:lang w:val="es-CO"/>
        </w:rPr>
        <w:t>1</w:t>
      </w:r>
      <w:r w:rsidR="00DF3F93">
        <w:rPr>
          <w:rFonts w:ascii="Work Sans" w:hAnsi="Work Sans"/>
          <w:sz w:val="22"/>
          <w:szCs w:val="22"/>
          <w:lang w:val="es-CO"/>
        </w:rPr>
        <w:t>33</w:t>
      </w:r>
      <w:r w:rsidRPr="00184215">
        <w:rPr>
          <w:rFonts w:ascii="Work Sans" w:hAnsi="Work Sans"/>
          <w:sz w:val="22"/>
          <w:szCs w:val="22"/>
          <w:lang w:val="es-CO"/>
        </w:rPr>
        <w:t xml:space="preserve"> cargos, están siendo ocupados por mujeres.</w:t>
      </w:r>
    </w:p>
    <w:p w14:paraId="5CA2BF59" w14:textId="6A9393D8" w:rsidR="005C3B80" w:rsidRDefault="005C3B8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tbl>
      <w:tblPr>
        <w:tblW w:w="395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920"/>
        <w:gridCol w:w="2818"/>
      </w:tblGrid>
      <w:tr w:rsidR="005C3B80" w:rsidRPr="00D663A0" w14:paraId="30FC4D49" w14:textId="77777777" w:rsidTr="00C41C63">
        <w:trPr>
          <w:trHeight w:val="233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1A84F71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eastAsia="es-CO"/>
              </w:rPr>
            </w:pPr>
            <w:bookmarkStart w:id="3" w:name="_Hlk93392215"/>
            <w:r w:rsidRPr="00D663A0">
              <w:rPr>
                <w:rFonts w:ascii="Tahoma" w:hAnsi="Tahoma" w:cs="Tahoma"/>
                <w:b/>
                <w:bCs/>
                <w:color w:val="000000"/>
                <w:lang w:val="es-ES_tradnl"/>
              </w:rPr>
              <w:t>C.    DISTRIBUCIÓN POR RANGO DE EDAD</w:t>
            </w:r>
          </w:p>
        </w:tc>
      </w:tr>
      <w:tr w:rsidR="005C3B80" w:rsidRPr="00D663A0" w14:paraId="073CD67B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BBF1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 w:rsidRPr="00D663A0">
              <w:rPr>
                <w:rFonts w:ascii="Tahoma" w:hAnsi="Tahoma" w:cs="Tahoma"/>
                <w:b/>
                <w:bCs/>
                <w:color w:val="000000"/>
                <w:lang w:val="es-ES_tradnl"/>
              </w:rPr>
              <w:t>RANGO</w:t>
            </w:r>
            <w:r w:rsidRPr="00D663A0">
              <w:rPr>
                <w:rFonts w:ascii="Tahoma" w:hAnsi="Tahoma" w:cs="Tahoma"/>
                <w:color w:val="000000"/>
                <w:lang w:val="es-ES_tradnl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EA66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 w:rsidRPr="00D663A0">
              <w:rPr>
                <w:rFonts w:ascii="Tahoma" w:hAnsi="Tahoma" w:cs="Tahoma"/>
                <w:b/>
                <w:bCs/>
                <w:color w:val="000000"/>
                <w:lang w:val="es-ES_tradnl"/>
              </w:rPr>
              <w:t>NÚMERO</w:t>
            </w:r>
            <w:r w:rsidRPr="00D663A0">
              <w:rPr>
                <w:rFonts w:ascii="Tahoma" w:hAnsi="Tahoma" w:cs="Tahoma"/>
                <w:color w:val="000000"/>
                <w:lang w:val="es-ES_tradnl"/>
              </w:rPr>
              <w:t xml:space="preserve">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0251E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 w:rsidRPr="00D663A0">
              <w:rPr>
                <w:rFonts w:ascii="Tahoma" w:hAnsi="Tahoma" w:cs="Tahoma"/>
                <w:b/>
                <w:bCs/>
                <w:color w:val="000000"/>
                <w:lang w:val="es-ES_tradnl"/>
              </w:rPr>
              <w:t>PORCENTAJE</w:t>
            </w:r>
            <w:r w:rsidRPr="00D663A0">
              <w:rPr>
                <w:rFonts w:ascii="Tahoma" w:hAnsi="Tahoma" w:cs="Tahoma"/>
                <w:color w:val="000000"/>
                <w:lang w:val="es-ES_tradnl"/>
              </w:rPr>
              <w:t xml:space="preserve"> </w:t>
            </w:r>
          </w:p>
        </w:tc>
      </w:tr>
      <w:tr w:rsidR="005C3B80" w:rsidRPr="00E153E5" w14:paraId="330F11BB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D359" w14:textId="77777777" w:rsidR="005C3B80" w:rsidRPr="00701DF7" w:rsidRDefault="005C3B80" w:rsidP="00C41C63">
            <w:pPr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 xml:space="preserve">22 a 32 años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4CCAE" w14:textId="1E21D125" w:rsidR="005C3B80" w:rsidRPr="00701DF7" w:rsidRDefault="006A780B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>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D16C3" w14:textId="32756CD3" w:rsidR="005C3B80" w:rsidRPr="00701DF7" w:rsidRDefault="006A780B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Calibri" w:hAnsi="Calibri" w:cs="Calibri"/>
                <w:color w:val="000000" w:themeColor="text1"/>
              </w:rPr>
              <w:t>12</w:t>
            </w:r>
            <w:r w:rsidR="005C3B80" w:rsidRPr="00701DF7">
              <w:rPr>
                <w:rFonts w:ascii="Calibri" w:hAnsi="Calibri" w:cs="Calibri"/>
                <w:color w:val="000000" w:themeColor="text1"/>
              </w:rPr>
              <w:t>,</w:t>
            </w:r>
            <w:r w:rsidRPr="00701DF7">
              <w:rPr>
                <w:rFonts w:ascii="Calibri" w:hAnsi="Calibri" w:cs="Calibri"/>
                <w:color w:val="000000" w:themeColor="text1"/>
              </w:rPr>
              <w:t>31</w:t>
            </w:r>
            <w:r w:rsidR="005C3B80" w:rsidRPr="00701DF7">
              <w:rPr>
                <w:rFonts w:ascii="Calibri" w:hAnsi="Calibri" w:cs="Calibri"/>
                <w:color w:val="000000" w:themeColor="text1"/>
              </w:rPr>
              <w:t>%</w:t>
            </w:r>
          </w:p>
        </w:tc>
      </w:tr>
      <w:tr w:rsidR="005C3B80" w:rsidRPr="00D663A0" w14:paraId="78E2B611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7F312" w14:textId="77777777" w:rsidR="005C3B80" w:rsidRPr="00701DF7" w:rsidRDefault="005C3B80" w:rsidP="00C41C63">
            <w:pPr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lastRenderedPageBreak/>
              <w:t xml:space="preserve">33 a 43 años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4E5F5" w14:textId="28F5C1A3" w:rsidR="005C3B80" w:rsidRPr="00701DF7" w:rsidRDefault="006A780B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>78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6E1D7" w14:textId="21153916" w:rsidR="005C3B80" w:rsidRPr="00701DF7" w:rsidRDefault="005C3B80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Calibri" w:hAnsi="Calibri" w:cs="Calibri"/>
                <w:color w:val="000000"/>
              </w:rPr>
              <w:t>3</w:t>
            </w:r>
            <w:r w:rsidR="006A780B" w:rsidRPr="00701DF7">
              <w:rPr>
                <w:rFonts w:ascii="Calibri" w:hAnsi="Calibri" w:cs="Calibri"/>
                <w:color w:val="000000"/>
              </w:rPr>
              <w:t>0</w:t>
            </w:r>
            <w:r w:rsidRPr="00701DF7">
              <w:rPr>
                <w:rFonts w:ascii="Calibri" w:hAnsi="Calibri" w:cs="Calibri"/>
                <w:color w:val="000000"/>
              </w:rPr>
              <w:t>.</w:t>
            </w:r>
            <w:r w:rsidR="006A780B" w:rsidRPr="00701DF7">
              <w:rPr>
                <w:rFonts w:ascii="Calibri" w:hAnsi="Calibri" w:cs="Calibri"/>
                <w:color w:val="000000"/>
              </w:rPr>
              <w:t>00</w:t>
            </w:r>
            <w:r w:rsidRPr="00701DF7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5C3B80" w:rsidRPr="00D663A0" w14:paraId="5DF8258B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F9686" w14:textId="77777777" w:rsidR="005C3B80" w:rsidRPr="00701DF7" w:rsidRDefault="005C3B80" w:rsidP="00C41C63">
            <w:pPr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>44 a 54 años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E5F55" w14:textId="7CE021BE" w:rsidR="005C3B80" w:rsidRPr="00701DF7" w:rsidRDefault="005C3B80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>7</w:t>
            </w:r>
            <w:r w:rsidR="006A780B" w:rsidRPr="00701DF7">
              <w:rPr>
                <w:rFonts w:ascii="Tahoma" w:hAnsi="Tahoma" w:cs="Tahoma"/>
                <w:color w:val="000000"/>
                <w:lang w:val="es-ES_tradnl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CC12C1" w14:textId="3380E964" w:rsidR="005C3B80" w:rsidRPr="00701DF7" w:rsidRDefault="005C3B80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Calibri" w:hAnsi="Calibri" w:cs="Calibri"/>
                <w:color w:val="000000"/>
              </w:rPr>
              <w:t>2</w:t>
            </w:r>
            <w:r w:rsidR="006A780B" w:rsidRPr="00701DF7">
              <w:rPr>
                <w:rFonts w:ascii="Calibri" w:hAnsi="Calibri" w:cs="Calibri"/>
                <w:color w:val="000000"/>
              </w:rPr>
              <w:t>7</w:t>
            </w:r>
            <w:r w:rsidRPr="00701DF7">
              <w:rPr>
                <w:rFonts w:ascii="Calibri" w:hAnsi="Calibri" w:cs="Calibri"/>
                <w:color w:val="000000"/>
              </w:rPr>
              <w:t>,</w:t>
            </w:r>
            <w:r w:rsidR="006A780B" w:rsidRPr="00701DF7">
              <w:rPr>
                <w:rFonts w:ascii="Calibri" w:hAnsi="Calibri" w:cs="Calibri"/>
                <w:color w:val="000000"/>
              </w:rPr>
              <w:t>31</w:t>
            </w:r>
            <w:r w:rsidRPr="00701DF7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5C3B80" w:rsidRPr="00D663A0" w14:paraId="711C960C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51E84" w14:textId="77777777" w:rsidR="005C3B80" w:rsidRPr="00701DF7" w:rsidRDefault="005C3B80" w:rsidP="00C41C63">
            <w:pPr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 xml:space="preserve">55 o más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5957" w14:textId="71CF9DCA" w:rsidR="005C3B80" w:rsidRPr="00701DF7" w:rsidRDefault="006A780B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Tahoma" w:hAnsi="Tahoma" w:cs="Tahoma"/>
                <w:color w:val="000000"/>
                <w:lang w:val="es-ES_tradnl"/>
              </w:rPr>
              <w:t>79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0189A" w14:textId="652B3635" w:rsidR="005C3B80" w:rsidRPr="00701DF7" w:rsidRDefault="006A780B" w:rsidP="00C41C63">
            <w:pPr>
              <w:jc w:val="center"/>
              <w:rPr>
                <w:rFonts w:ascii="Tahoma" w:hAnsi="Tahoma" w:cs="Tahoma"/>
                <w:color w:val="000000"/>
                <w:lang w:val="es-ES_tradnl"/>
              </w:rPr>
            </w:pPr>
            <w:r w:rsidRPr="00701DF7">
              <w:rPr>
                <w:rFonts w:ascii="Calibri" w:hAnsi="Calibri" w:cs="Calibri"/>
                <w:color w:val="000000"/>
              </w:rPr>
              <w:t>30.38</w:t>
            </w:r>
            <w:r w:rsidR="005C3B80" w:rsidRPr="00701DF7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5C3B80" w:rsidRPr="00D663A0" w14:paraId="051DBB42" w14:textId="77777777" w:rsidTr="00C41C63">
        <w:trPr>
          <w:trHeight w:val="245"/>
          <w:jc w:val="center"/>
        </w:trPr>
        <w:tc>
          <w:tcPr>
            <w:tcW w:w="18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0B53CD9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 w:rsidRPr="00D663A0">
              <w:rPr>
                <w:rFonts w:ascii="Tahoma" w:hAnsi="Tahoma" w:cs="Tahoma"/>
                <w:b/>
                <w:bCs/>
                <w:color w:val="000000"/>
                <w:lang w:val="es-ES_tradnl"/>
              </w:rPr>
              <w:t>TOTAL</w:t>
            </w:r>
            <w:r w:rsidRPr="00D663A0">
              <w:rPr>
                <w:rFonts w:ascii="Tahoma" w:hAnsi="Tahoma" w:cs="Tahoma"/>
                <w:color w:val="000000"/>
                <w:lang w:val="es-ES_tradnl"/>
              </w:rPr>
              <w:t xml:space="preserve"> 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3EC3FA6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s-ES_tradnl"/>
              </w:rPr>
              <w:t>285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952B605" w14:textId="77777777" w:rsidR="005C3B80" w:rsidRPr="00D663A0" w:rsidRDefault="005C3B80" w:rsidP="00C41C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s-ES_tradnl"/>
              </w:rPr>
              <w:t>100%</w:t>
            </w:r>
          </w:p>
        </w:tc>
      </w:tr>
      <w:bookmarkEnd w:id="3"/>
    </w:tbl>
    <w:p w14:paraId="3A9BAF7E" w14:textId="09A43892" w:rsidR="005C3B80" w:rsidRDefault="005C3B8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F1E7F11" w14:textId="23A16947" w:rsidR="005C3B80" w:rsidRDefault="005C3B80" w:rsidP="005C3B80">
      <w:pPr>
        <w:spacing w:line="240" w:lineRule="auto"/>
        <w:jc w:val="both"/>
        <w:rPr>
          <w:rFonts w:ascii="Work Sans" w:hAnsi="Work Sans" w:cs="Tahoma"/>
          <w:color w:val="000000" w:themeColor="text1"/>
          <w:lang w:val="es-ES_tradnl"/>
        </w:rPr>
      </w:pPr>
      <w:r w:rsidRPr="0055513B">
        <w:rPr>
          <w:rFonts w:ascii="Work Sans" w:hAnsi="Work Sans" w:cs="Tahoma"/>
          <w:color w:val="000000" w:themeColor="text1"/>
          <w:lang w:val="es-ES_tradnl"/>
        </w:rPr>
        <w:t xml:space="preserve">Por distribución etaria, el rango de edad comprendido entre </w:t>
      </w:r>
      <w:r w:rsidR="001C4CCB">
        <w:rPr>
          <w:rFonts w:ascii="Work Sans" w:hAnsi="Work Sans" w:cs="Tahoma"/>
          <w:color w:val="000000" w:themeColor="text1"/>
          <w:lang w:val="es-ES_tradnl"/>
        </w:rPr>
        <w:t>55</w:t>
      </w:r>
      <w:r w:rsidRPr="0055513B">
        <w:rPr>
          <w:rFonts w:ascii="Work Sans" w:hAnsi="Work Sans" w:cs="Tahoma"/>
          <w:color w:val="000000" w:themeColor="text1"/>
          <w:lang w:val="es-ES_tradnl"/>
        </w:rPr>
        <w:t xml:space="preserve"> años</w:t>
      </w:r>
      <w:r w:rsidR="001C4CCB">
        <w:rPr>
          <w:rFonts w:ascii="Work Sans" w:hAnsi="Work Sans" w:cs="Tahoma"/>
          <w:color w:val="000000" w:themeColor="text1"/>
          <w:lang w:val="es-ES_tradnl"/>
        </w:rPr>
        <w:t xml:space="preserve"> o más</w:t>
      </w:r>
      <w:r w:rsidRPr="0055513B">
        <w:rPr>
          <w:rFonts w:ascii="Work Sans" w:hAnsi="Work Sans" w:cs="Tahoma"/>
          <w:color w:val="000000" w:themeColor="text1"/>
          <w:lang w:val="es-ES_tradnl"/>
        </w:rPr>
        <w:t xml:space="preserve"> es el preponderante en el Ministerio de Minas y Energía con un peso porcentual del </w:t>
      </w:r>
      <w:r>
        <w:rPr>
          <w:rFonts w:ascii="Work Sans" w:hAnsi="Work Sans" w:cs="Tahoma"/>
          <w:color w:val="000000" w:themeColor="text1"/>
          <w:lang w:val="es-ES_tradnl"/>
        </w:rPr>
        <w:t>3</w:t>
      </w:r>
      <w:r w:rsidR="001C4CCB">
        <w:rPr>
          <w:rFonts w:ascii="Work Sans" w:hAnsi="Work Sans" w:cs="Tahoma"/>
          <w:color w:val="000000" w:themeColor="text1"/>
          <w:lang w:val="es-ES_tradnl"/>
        </w:rPr>
        <w:t>0</w:t>
      </w:r>
      <w:r w:rsidRPr="0055513B">
        <w:rPr>
          <w:rFonts w:ascii="Work Sans" w:hAnsi="Work Sans" w:cs="Tahoma"/>
          <w:color w:val="000000" w:themeColor="text1"/>
          <w:lang w:val="es-ES_tradnl"/>
        </w:rPr>
        <w:t>.</w:t>
      </w:r>
      <w:r w:rsidR="001C4CCB">
        <w:rPr>
          <w:rFonts w:ascii="Work Sans" w:hAnsi="Work Sans" w:cs="Tahoma"/>
          <w:color w:val="000000" w:themeColor="text1"/>
          <w:lang w:val="es-ES_tradnl"/>
        </w:rPr>
        <w:t>38</w:t>
      </w:r>
      <w:r w:rsidRPr="0055513B">
        <w:rPr>
          <w:rFonts w:ascii="Work Sans" w:hAnsi="Work Sans" w:cs="Tahoma"/>
          <w:color w:val="000000" w:themeColor="text1"/>
          <w:lang w:val="es-ES_tradnl"/>
        </w:rPr>
        <w:t>%</w:t>
      </w:r>
      <w:r>
        <w:rPr>
          <w:rFonts w:ascii="Work Sans" w:hAnsi="Work Sans" w:cs="Tahoma"/>
          <w:color w:val="000000" w:themeColor="text1"/>
          <w:lang w:val="es-ES_tradnl"/>
        </w:rPr>
        <w:t>, s</w:t>
      </w:r>
      <w:r w:rsidRPr="0055513B">
        <w:rPr>
          <w:rFonts w:ascii="Work Sans" w:hAnsi="Work Sans" w:cs="Tahoma"/>
          <w:color w:val="000000" w:themeColor="text1"/>
          <w:lang w:val="es-ES_tradnl"/>
        </w:rPr>
        <w:t xml:space="preserve">on </w:t>
      </w:r>
      <w:r w:rsidR="001C4CCB">
        <w:rPr>
          <w:rFonts w:ascii="Work Sans" w:hAnsi="Work Sans" w:cs="Tahoma"/>
          <w:color w:val="000000" w:themeColor="text1"/>
          <w:lang w:val="es-ES_tradnl"/>
        </w:rPr>
        <w:t>7</w:t>
      </w:r>
      <w:r>
        <w:rPr>
          <w:rFonts w:ascii="Work Sans" w:hAnsi="Work Sans" w:cs="Tahoma"/>
          <w:color w:val="000000" w:themeColor="text1"/>
          <w:lang w:val="es-ES_tradnl"/>
        </w:rPr>
        <w:t>9</w:t>
      </w:r>
      <w:r w:rsidRPr="0055513B">
        <w:rPr>
          <w:rFonts w:ascii="Work Sans" w:hAnsi="Work Sans" w:cs="Tahoma"/>
          <w:color w:val="000000" w:themeColor="text1"/>
          <w:lang w:val="es-ES_tradnl"/>
        </w:rPr>
        <w:t xml:space="preserve"> empleados los que se encuentran incluidos en este rango. En contraposición, la población más joven del Ministerio es la que tiene una menor representación en la planta provista, siendo </w:t>
      </w:r>
      <w:r w:rsidR="001C4CCB">
        <w:rPr>
          <w:rFonts w:ascii="Work Sans" w:hAnsi="Work Sans" w:cs="Tahoma"/>
          <w:color w:val="000000" w:themeColor="text1"/>
          <w:lang w:val="es-ES_tradnl"/>
        </w:rPr>
        <w:t>32</w:t>
      </w:r>
      <w:r w:rsidRPr="0055513B">
        <w:rPr>
          <w:rFonts w:ascii="Work Sans" w:hAnsi="Work Sans" w:cs="Tahoma"/>
          <w:color w:val="000000" w:themeColor="text1"/>
          <w:lang w:val="es-ES_tradnl"/>
        </w:rPr>
        <w:t xml:space="preserve"> personas que se encuentran en este rango de edad, del universo existente y que representa el 1</w:t>
      </w:r>
      <w:r w:rsidR="001C4CCB">
        <w:rPr>
          <w:rFonts w:ascii="Work Sans" w:hAnsi="Work Sans" w:cs="Tahoma"/>
          <w:color w:val="000000" w:themeColor="text1"/>
          <w:lang w:val="es-ES_tradnl"/>
        </w:rPr>
        <w:t>2</w:t>
      </w:r>
      <w:r w:rsidRPr="0055513B">
        <w:rPr>
          <w:rFonts w:ascii="Work Sans" w:hAnsi="Work Sans" w:cs="Tahoma"/>
          <w:color w:val="000000" w:themeColor="text1"/>
          <w:lang w:val="es-ES_tradnl"/>
        </w:rPr>
        <w:t>.</w:t>
      </w:r>
      <w:r w:rsidR="001C4CCB">
        <w:rPr>
          <w:rFonts w:ascii="Work Sans" w:hAnsi="Work Sans" w:cs="Tahoma"/>
          <w:color w:val="000000" w:themeColor="text1"/>
          <w:lang w:val="es-ES_tradnl"/>
        </w:rPr>
        <w:t>31</w:t>
      </w:r>
      <w:r w:rsidRPr="00962E77">
        <w:rPr>
          <w:rFonts w:ascii="Work Sans" w:hAnsi="Work Sans" w:cs="Tahoma"/>
          <w:bCs/>
          <w:color w:val="000000" w:themeColor="text1"/>
          <w:lang w:val="es-ES_tradnl"/>
        </w:rPr>
        <w:t>%</w:t>
      </w:r>
      <w:r w:rsidRPr="0055513B">
        <w:rPr>
          <w:rFonts w:ascii="Work Sans" w:hAnsi="Work Sans" w:cs="Tahoma"/>
          <w:color w:val="000000" w:themeColor="text1"/>
          <w:lang w:val="es-ES_tradnl"/>
        </w:rPr>
        <w:t>.</w:t>
      </w:r>
    </w:p>
    <w:p w14:paraId="16F1D4C0" w14:textId="1FAA6FD4" w:rsidR="00D87620" w:rsidRPr="001C0991" w:rsidRDefault="00D8762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>Adicionalmente en el Ministerio de Minas y Energía para la vigencia 20</w:t>
      </w:r>
      <w:r w:rsidR="00BE7222"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>2</w:t>
      </w:r>
      <w:r w:rsidR="00A601ED"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>2</w:t>
      </w:r>
      <w:r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se contó con un total de </w:t>
      </w:r>
      <w:r w:rsidR="001C0991"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556 </w:t>
      </w:r>
      <w:r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contratistas directos que apoyaban la gestión y cumplimiento </w:t>
      </w:r>
      <w:r w:rsidR="00602F7F" w:rsidRPr="001C0991">
        <w:rPr>
          <w:rFonts w:ascii="Work Sans" w:hAnsi="Work Sans"/>
          <w:color w:val="000000" w:themeColor="text1"/>
          <w:sz w:val="22"/>
          <w:szCs w:val="22"/>
          <w:lang w:val="es-CO"/>
        </w:rPr>
        <w:t>de las funciones de la entidad.</w:t>
      </w:r>
    </w:p>
    <w:p w14:paraId="4CEA25A7" w14:textId="77777777" w:rsidR="004B79EB" w:rsidRPr="00184215" w:rsidRDefault="004B79E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471588B" w14:textId="77777777" w:rsidR="0079097B" w:rsidRPr="00701DF7" w:rsidRDefault="0079097B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</w:p>
    <w:p w14:paraId="03288993" w14:textId="69D0D5A8" w:rsidR="00BA5B86" w:rsidRPr="00701DF7" w:rsidRDefault="00FE1F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b/>
          <w:color w:val="000000" w:themeColor="text1"/>
          <w:sz w:val="22"/>
          <w:szCs w:val="22"/>
          <w:lang w:val="es-CO"/>
        </w:rPr>
        <w:t xml:space="preserve">5.2. </w:t>
      </w:r>
      <w:r w:rsidR="008C4EEF" w:rsidRPr="00701DF7">
        <w:rPr>
          <w:rFonts w:ascii="Work Sans" w:hAnsi="Work Sans"/>
          <w:b/>
          <w:color w:val="000000" w:themeColor="text1"/>
          <w:sz w:val="22"/>
          <w:szCs w:val="22"/>
          <w:lang w:val="es-CO"/>
        </w:rPr>
        <w:t>Índice de desempeño Institucional</w:t>
      </w:r>
    </w:p>
    <w:p w14:paraId="0BA17DAE" w14:textId="77777777" w:rsidR="00023884" w:rsidRPr="00701DF7" w:rsidRDefault="00023884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</w:p>
    <w:p w14:paraId="3FEA4F2F" w14:textId="578DAEDD" w:rsidR="00BA5B86" w:rsidRPr="00701DF7" w:rsidRDefault="008C4EEF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Cs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Según los resultados del Índice de Desempeño Institucional </w:t>
      </w:r>
      <w:r w:rsidR="007431A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presentados por la Función Pública en la vigencia 2021, el Ministerio de Minas y Energía quedo en la </w:t>
      </w:r>
      <w:r w:rsidR="0092527F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>posición</w:t>
      </w:r>
      <w:r w:rsidR="007431A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 </w:t>
      </w:r>
      <w:r w:rsidR="0071114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10 </w:t>
      </w:r>
      <w:r w:rsidR="007431A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entre los Ministerio, con un puntaje total de </w:t>
      </w:r>
      <w:r w:rsidR="0071114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>90</w:t>
      </w:r>
      <w:r w:rsidR="007431A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>.</w:t>
      </w:r>
      <w:r w:rsidR="0071114D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2 </w:t>
      </w:r>
      <w:r w:rsidR="00496585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y en lo correspondiente a la política de Talento Humano, el Ministerio </w:t>
      </w:r>
      <w:r w:rsidR="006D1AF7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>obtuvo</w:t>
      </w:r>
      <w:r w:rsidR="00496585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 una puntuación de:</w:t>
      </w:r>
    </w:p>
    <w:p w14:paraId="5A7BA451" w14:textId="717A4C18" w:rsidR="00496585" w:rsidRPr="00701DF7" w:rsidRDefault="00111E0F" w:rsidP="00184215">
      <w:pPr>
        <w:pStyle w:val="Textoindependiente"/>
        <w:spacing w:line="276" w:lineRule="auto"/>
        <w:ind w:right="51"/>
        <w:contextualSpacing/>
        <w:jc w:val="center"/>
        <w:rPr>
          <w:rFonts w:ascii="Work Sans" w:hAnsi="Work Sans"/>
          <w:bCs/>
          <w:color w:val="000000" w:themeColor="text1"/>
          <w:sz w:val="22"/>
          <w:szCs w:val="22"/>
          <w:lang w:val="es-CO"/>
        </w:rPr>
      </w:pPr>
      <w:r w:rsidRPr="00701DF7">
        <w:rPr>
          <w:noProof/>
          <w:color w:val="000000" w:themeColor="text1"/>
        </w:rPr>
        <w:t xml:space="preserve"> </w:t>
      </w:r>
      <w:r w:rsidRPr="00701DF7">
        <w:rPr>
          <w:rFonts w:ascii="Work Sans" w:hAnsi="Work Sans"/>
          <w:bCs/>
          <w:noProof/>
          <w:color w:val="000000" w:themeColor="text1"/>
          <w:sz w:val="22"/>
          <w:szCs w:val="22"/>
          <w:lang w:val="es-CO" w:eastAsia="es-CO"/>
        </w:rPr>
        <w:drawing>
          <wp:inline distT="0" distB="0" distL="0" distR="0" wp14:anchorId="6909A30F" wp14:editId="17113961">
            <wp:extent cx="3672231" cy="2134846"/>
            <wp:effectExtent l="0" t="0" r="4445" b="0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2885" cy="214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6AC17" w14:textId="77777777" w:rsidR="00111E0F" w:rsidRPr="00701DF7" w:rsidRDefault="00111E0F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Cs/>
          <w:color w:val="000000" w:themeColor="text1"/>
          <w:sz w:val="22"/>
          <w:szCs w:val="22"/>
          <w:lang w:val="es-CO"/>
        </w:rPr>
      </w:pPr>
    </w:p>
    <w:p w14:paraId="6525192B" w14:textId="4F77235E" w:rsidR="00111E0F" w:rsidRPr="00701DF7" w:rsidRDefault="00496585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Cs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Y dentro de las actividades recomendadas para la siguiente vigencia quedaron, entre otras las siguientes: </w:t>
      </w:r>
      <w:r w:rsidR="00111E0F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t xml:space="preserve">Implementar en la entidad mecanismos suficientes y adecuados para transferir el conocimiento de los servidores que se retiran a quienes continúan vinculados; Elaborar un protocolo de atención a los servidores </w:t>
      </w:r>
      <w:r w:rsidR="00111E0F" w:rsidRPr="00701DF7">
        <w:rPr>
          <w:rFonts w:ascii="Work Sans" w:hAnsi="Work Sans"/>
          <w:bCs/>
          <w:color w:val="000000" w:themeColor="text1"/>
          <w:sz w:val="22"/>
          <w:szCs w:val="22"/>
          <w:lang w:val="es-CO"/>
        </w:rPr>
        <w:lastRenderedPageBreak/>
        <w:t>públicos frente a los casos de acoso laboral y sexual y Realizar oportunamente la inducción a los nuevos servidores que ingresan a la entidad.</w:t>
      </w:r>
    </w:p>
    <w:p w14:paraId="577A2FA5" w14:textId="77777777" w:rsidR="000A1F3D" w:rsidRPr="00DE76A2" w:rsidRDefault="000A1F3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Cs/>
          <w:color w:val="FF0000"/>
          <w:sz w:val="22"/>
          <w:szCs w:val="22"/>
          <w:lang w:val="es-CO"/>
        </w:rPr>
      </w:pPr>
    </w:p>
    <w:p w14:paraId="480B8F60" w14:textId="54C51E47" w:rsidR="00FE1FB0" w:rsidRPr="00701DF7" w:rsidRDefault="000A1F3D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b/>
          <w:color w:val="000000" w:themeColor="text1"/>
          <w:sz w:val="22"/>
          <w:szCs w:val="22"/>
          <w:lang w:val="es-CO"/>
        </w:rPr>
        <w:t xml:space="preserve">5.3. </w:t>
      </w:r>
      <w:r w:rsidR="00FE1FB0" w:rsidRPr="00701DF7">
        <w:rPr>
          <w:rFonts w:ascii="Work Sans" w:hAnsi="Work Sans"/>
          <w:b/>
          <w:color w:val="000000" w:themeColor="text1"/>
          <w:sz w:val="22"/>
          <w:szCs w:val="22"/>
          <w:lang w:val="es-CO"/>
        </w:rPr>
        <w:t>Percepción Encuesta de Opinión</w:t>
      </w:r>
    </w:p>
    <w:p w14:paraId="1014B5DA" w14:textId="77777777" w:rsidR="00FE1FB0" w:rsidRPr="00701DF7" w:rsidRDefault="00FE1F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</w:p>
    <w:p w14:paraId="05913867" w14:textId="02E96B12" w:rsidR="00FE1FB0" w:rsidRPr="00701DF7" w:rsidRDefault="00FE1FB0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La Subdirección de Talento Humano en el </w:t>
      </w:r>
      <w:r w:rsidR="000A1F3D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trascurso del año </w:t>
      </w:r>
      <w:r w:rsidR="00111E0F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>2022</w:t>
      </w:r>
      <w:r w:rsidR="000A1F3D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, </w:t>
      </w:r>
      <w:r w:rsidR="00DB0AB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presento </w:t>
      </w:r>
      <w:r w:rsidR="000A1F3D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diferentes </w:t>
      </w:r>
      <w:r w:rsidR="006B2F66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encuestas de percepción y de referencia sobre </w:t>
      </w:r>
      <w:r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>las actividades y gustos de los servidores de planta,</w:t>
      </w:r>
      <w:r w:rsidR="004461A1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así como el nivel de satisfacción de las actividades ejecutadas</w:t>
      </w:r>
      <w:r w:rsidR="006B2F66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>.</w:t>
      </w:r>
    </w:p>
    <w:p w14:paraId="2F01FB5D" w14:textId="77777777" w:rsidR="00111E0F" w:rsidRPr="00701DF7" w:rsidRDefault="00111E0F" w:rsidP="00184215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00DC120B" w14:textId="758EA962" w:rsidR="0029416A" w:rsidRPr="002A3F3E" w:rsidRDefault="00BB374B" w:rsidP="00701DF7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701DF7">
        <w:rPr>
          <w:rFonts w:ascii="Work Sans" w:hAnsi="Work Sans"/>
          <w:color w:val="000000" w:themeColor="text1"/>
        </w:rPr>
        <w:t>Los resultados de estas encuestas permiten estructurar las necesidades básicas que tienen los servidores y con ello estructurar parte de las actividades fundamentales que se llevarán a cabo en la vigencia 202</w:t>
      </w:r>
      <w:r w:rsidR="00DB0ABD" w:rsidRPr="00701DF7">
        <w:rPr>
          <w:rFonts w:ascii="Work Sans" w:hAnsi="Work Sans"/>
          <w:color w:val="000000" w:themeColor="text1"/>
        </w:rPr>
        <w:t>3</w:t>
      </w:r>
      <w:r w:rsidR="00DB0AB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. </w:t>
      </w:r>
      <w:r w:rsidRPr="00701DF7">
        <w:rPr>
          <w:rFonts w:ascii="Work Sans" w:hAnsi="Work Sans"/>
          <w:color w:val="000000" w:themeColor="text1"/>
        </w:rPr>
        <w:t xml:space="preserve"> </w:t>
      </w:r>
    </w:p>
    <w:p w14:paraId="6756DDF0" w14:textId="0F64BE9B" w:rsidR="00F568B2" w:rsidRPr="00B42B2D" w:rsidRDefault="00DB0AB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>
        <w:rPr>
          <w:rFonts w:ascii="Work Sans" w:hAnsi="Work Sans"/>
          <w:sz w:val="22"/>
          <w:szCs w:val="22"/>
          <w:lang w:val="es-CO"/>
        </w:rPr>
        <w:t xml:space="preserve">Dentro de los resultados podemos </w:t>
      </w:r>
      <w:r w:rsidR="00E21B77" w:rsidRPr="00B42B2D">
        <w:rPr>
          <w:rFonts w:ascii="Work Sans" w:hAnsi="Work Sans"/>
          <w:sz w:val="22"/>
          <w:szCs w:val="22"/>
          <w:lang w:val="es-CO"/>
        </w:rPr>
        <w:t xml:space="preserve">evidenciar </w:t>
      </w:r>
      <w:r>
        <w:rPr>
          <w:rFonts w:ascii="Work Sans" w:hAnsi="Work Sans"/>
          <w:sz w:val="22"/>
          <w:szCs w:val="22"/>
          <w:lang w:val="es-CO"/>
        </w:rPr>
        <w:t xml:space="preserve">que </w:t>
      </w:r>
      <w:r w:rsidR="00E21B77" w:rsidRPr="00B42B2D">
        <w:rPr>
          <w:rFonts w:ascii="Work Sans" w:hAnsi="Work Sans"/>
          <w:sz w:val="22"/>
          <w:szCs w:val="22"/>
          <w:lang w:val="es-CO"/>
        </w:rPr>
        <w:t xml:space="preserve">los colaboradores del Ministerio de </w:t>
      </w:r>
      <w:r>
        <w:rPr>
          <w:rFonts w:ascii="Work Sans" w:hAnsi="Work Sans"/>
          <w:sz w:val="22"/>
          <w:szCs w:val="22"/>
          <w:lang w:val="es-CO"/>
        </w:rPr>
        <w:t>M</w:t>
      </w:r>
      <w:r w:rsidRPr="00B42B2D">
        <w:rPr>
          <w:rFonts w:ascii="Work Sans" w:hAnsi="Work Sans"/>
          <w:sz w:val="22"/>
          <w:szCs w:val="22"/>
          <w:lang w:val="es-CO"/>
        </w:rPr>
        <w:t xml:space="preserve">inas </w:t>
      </w:r>
      <w:r w:rsidR="00E21B77" w:rsidRPr="00B42B2D">
        <w:rPr>
          <w:rFonts w:ascii="Work Sans" w:hAnsi="Work Sans"/>
          <w:sz w:val="22"/>
          <w:szCs w:val="22"/>
          <w:lang w:val="es-CO"/>
        </w:rPr>
        <w:t xml:space="preserve">y </w:t>
      </w:r>
      <w:r>
        <w:rPr>
          <w:rFonts w:ascii="Work Sans" w:hAnsi="Work Sans"/>
          <w:sz w:val="22"/>
          <w:szCs w:val="22"/>
          <w:lang w:val="es-CO"/>
        </w:rPr>
        <w:t>E</w:t>
      </w:r>
      <w:r w:rsidRPr="00B42B2D">
        <w:rPr>
          <w:rFonts w:ascii="Work Sans" w:hAnsi="Work Sans"/>
          <w:sz w:val="22"/>
          <w:szCs w:val="22"/>
          <w:lang w:val="es-CO"/>
        </w:rPr>
        <w:t xml:space="preserve">nergía </w:t>
      </w:r>
      <w:r w:rsidR="00E21B77" w:rsidRPr="00B42B2D">
        <w:rPr>
          <w:rFonts w:ascii="Work Sans" w:hAnsi="Work Sans"/>
          <w:sz w:val="22"/>
          <w:szCs w:val="22"/>
          <w:lang w:val="es-CO"/>
        </w:rPr>
        <w:t xml:space="preserve">buscan diversos programas de capacitación y actividades de bienestar para fomentar sus actividades, por eso desde la </w:t>
      </w:r>
      <w:r>
        <w:rPr>
          <w:rFonts w:ascii="Work Sans" w:hAnsi="Work Sans"/>
          <w:sz w:val="22"/>
          <w:szCs w:val="22"/>
          <w:lang w:val="es-CO"/>
        </w:rPr>
        <w:t>S</w:t>
      </w:r>
      <w:r w:rsidRPr="00B42B2D">
        <w:rPr>
          <w:rFonts w:ascii="Work Sans" w:hAnsi="Work Sans"/>
          <w:sz w:val="22"/>
          <w:szCs w:val="22"/>
          <w:lang w:val="es-CO"/>
        </w:rPr>
        <w:t xml:space="preserve">ubdirección </w:t>
      </w:r>
      <w:r w:rsidR="00E21B77" w:rsidRPr="00B42B2D">
        <w:rPr>
          <w:rFonts w:ascii="Work Sans" w:hAnsi="Work Sans"/>
          <w:sz w:val="22"/>
          <w:szCs w:val="22"/>
          <w:lang w:val="es-CO"/>
        </w:rPr>
        <w:t>se consolida y se crea el plan de trabajo para la vigencia 202</w:t>
      </w:r>
      <w:r w:rsidR="00DE76A2">
        <w:rPr>
          <w:rFonts w:ascii="Work Sans" w:hAnsi="Work Sans"/>
          <w:sz w:val="22"/>
          <w:szCs w:val="22"/>
          <w:lang w:val="es-CO"/>
        </w:rPr>
        <w:t>3</w:t>
      </w:r>
      <w:r w:rsidR="00E21B77" w:rsidRPr="00B42B2D">
        <w:rPr>
          <w:rFonts w:ascii="Work Sans" w:hAnsi="Work Sans"/>
          <w:sz w:val="22"/>
          <w:szCs w:val="22"/>
          <w:lang w:val="es-CO"/>
        </w:rPr>
        <w:t xml:space="preserve"> con todas estas actividades en el marco del presupuesto general de la nación y se establecen las actividades a desarrollar.</w:t>
      </w:r>
    </w:p>
    <w:p w14:paraId="536A0683" w14:textId="2588AD07" w:rsidR="00E21B77" w:rsidRPr="00B42B2D" w:rsidRDefault="00E21B77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E18DA07" w14:textId="0EEC914D" w:rsidR="00CF5059" w:rsidRPr="00701DF7" w:rsidRDefault="00DB0AB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Podemos evidenciar que </w:t>
      </w:r>
      <w:r w:rsidR="00CF5059"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>las actividades desarrolladas cumplieron con las expectativas de los asistentes, ya que muchas de ellas dados los indicadores y las disposiciones de las autoridades nacionales y locales se lograron hacer presencialmente con todas las medidas de bioseguridad requeridas y esto fue del agrado y satisfacción de los servidores públicos; para la vigencia 2022 en la medida de lo posible y mientras que las disposiciones nacionales y locales lo permitan las actividades programadas se realizarán de manera presencial aplicando las medidas de bioseguridad requeridas.</w:t>
      </w:r>
    </w:p>
    <w:p w14:paraId="00B30468" w14:textId="77777777" w:rsidR="00463299" w:rsidRPr="00B42B2D" w:rsidRDefault="00463299" w:rsidP="00B42B2D">
      <w:pPr>
        <w:pStyle w:val="Textoindependiente"/>
        <w:spacing w:line="276" w:lineRule="auto"/>
        <w:ind w:left="720"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188EABE" w14:textId="0DFAEE44" w:rsidR="00F84369" w:rsidRDefault="00CE22A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Para el desarrollo del presente Plan de Bienestar Social, se clasificaron las actividades a desarrollar en </w:t>
      </w:r>
      <w:r w:rsidR="00D626A6" w:rsidRPr="00B42B2D">
        <w:rPr>
          <w:rFonts w:ascii="Work Sans" w:hAnsi="Work Sans"/>
          <w:sz w:val="22"/>
          <w:szCs w:val="22"/>
          <w:lang w:val="es-CO"/>
        </w:rPr>
        <w:t>los cinco</w:t>
      </w:r>
      <w:r w:rsidRPr="00B42B2D">
        <w:rPr>
          <w:rFonts w:ascii="Work Sans" w:hAnsi="Work Sans"/>
          <w:sz w:val="22"/>
          <w:szCs w:val="22"/>
          <w:lang w:val="es-CO"/>
        </w:rPr>
        <w:t xml:space="preserve"> (</w:t>
      </w:r>
      <w:r w:rsidR="00D626A6" w:rsidRPr="00B42B2D">
        <w:rPr>
          <w:rFonts w:ascii="Work Sans" w:hAnsi="Work Sans"/>
          <w:sz w:val="22"/>
          <w:szCs w:val="22"/>
          <w:lang w:val="es-CO"/>
        </w:rPr>
        <w:t>5</w:t>
      </w:r>
      <w:r w:rsidRPr="00B42B2D">
        <w:rPr>
          <w:rFonts w:ascii="Work Sans" w:hAnsi="Work Sans"/>
          <w:sz w:val="22"/>
          <w:szCs w:val="22"/>
          <w:lang w:val="es-CO"/>
        </w:rPr>
        <w:t xml:space="preserve">) </w:t>
      </w:r>
      <w:r w:rsidR="003B3858" w:rsidRPr="00B42B2D">
        <w:rPr>
          <w:rFonts w:ascii="Work Sans" w:hAnsi="Work Sans"/>
          <w:sz w:val="22"/>
          <w:szCs w:val="22"/>
          <w:lang w:val="es-CO"/>
        </w:rPr>
        <w:t xml:space="preserve">ejes temáticos </w:t>
      </w:r>
      <w:r w:rsidRPr="00B42B2D">
        <w:rPr>
          <w:rFonts w:ascii="Work Sans" w:hAnsi="Work Sans"/>
          <w:sz w:val="22"/>
          <w:szCs w:val="22"/>
          <w:lang w:val="es-CO"/>
        </w:rPr>
        <w:t>a saber</w:t>
      </w:r>
      <w:r w:rsidR="00F84369" w:rsidRPr="00B42B2D">
        <w:rPr>
          <w:rFonts w:ascii="Work Sans" w:hAnsi="Work Sans"/>
          <w:sz w:val="22"/>
          <w:szCs w:val="22"/>
          <w:lang w:val="es-CO"/>
        </w:rPr>
        <w:t>:</w:t>
      </w:r>
    </w:p>
    <w:p w14:paraId="6E9368F0" w14:textId="77777777" w:rsidR="00A73725" w:rsidRPr="00B42B2D" w:rsidRDefault="00A73725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4AE090FB" w14:textId="1BA0A882" w:rsidR="00F84369" w:rsidRPr="00B42B2D" w:rsidRDefault="00D626A6" w:rsidP="00B42B2D">
      <w:pPr>
        <w:pStyle w:val="Textoindependiente"/>
        <w:numPr>
          <w:ilvl w:val="0"/>
          <w:numId w:val="13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Equilibrio Psicosocial</w:t>
      </w:r>
    </w:p>
    <w:p w14:paraId="7D6D4516" w14:textId="428EE511" w:rsidR="00D626A6" w:rsidRPr="00B42B2D" w:rsidRDefault="00D626A6" w:rsidP="00B42B2D">
      <w:pPr>
        <w:pStyle w:val="Textoindependiente"/>
        <w:numPr>
          <w:ilvl w:val="0"/>
          <w:numId w:val="13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Salud Mental</w:t>
      </w:r>
    </w:p>
    <w:p w14:paraId="7EF68AB9" w14:textId="0111011B" w:rsidR="00D626A6" w:rsidRPr="00B42B2D" w:rsidRDefault="00D626A6" w:rsidP="00B42B2D">
      <w:pPr>
        <w:pStyle w:val="Textoindependiente"/>
        <w:numPr>
          <w:ilvl w:val="0"/>
          <w:numId w:val="13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Convivencia Social</w:t>
      </w:r>
    </w:p>
    <w:p w14:paraId="046425F4" w14:textId="71E2A630" w:rsidR="00D626A6" w:rsidRPr="00B42B2D" w:rsidRDefault="00D626A6" w:rsidP="00B42B2D">
      <w:pPr>
        <w:pStyle w:val="Textoindependiente"/>
        <w:numPr>
          <w:ilvl w:val="0"/>
          <w:numId w:val="13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Alianzas Institucionales</w:t>
      </w:r>
    </w:p>
    <w:p w14:paraId="1F0E8231" w14:textId="4EB801CC" w:rsidR="00D626A6" w:rsidRPr="00B42B2D" w:rsidRDefault="00D626A6" w:rsidP="00B42B2D">
      <w:pPr>
        <w:pStyle w:val="Textoindependiente"/>
        <w:numPr>
          <w:ilvl w:val="0"/>
          <w:numId w:val="13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Transformación Digital</w:t>
      </w:r>
    </w:p>
    <w:p w14:paraId="25766BD7" w14:textId="77777777" w:rsidR="00F84369" w:rsidRPr="00B42B2D" w:rsidRDefault="00F84369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0BA518C" w14:textId="5B9F72CD" w:rsidR="00BB318D" w:rsidRDefault="00BB318D" w:rsidP="00B42B2D">
      <w:pPr>
        <w:pStyle w:val="Textoindependiente"/>
        <w:numPr>
          <w:ilvl w:val="1"/>
          <w:numId w:val="8"/>
        </w:numPr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 xml:space="preserve">PLAN DE BIENESTAR SOCIAL </w:t>
      </w:r>
      <w:r w:rsidR="00304BE2" w:rsidRPr="00B42B2D">
        <w:rPr>
          <w:rFonts w:ascii="Work Sans" w:hAnsi="Work Sans"/>
          <w:b/>
          <w:sz w:val="22"/>
          <w:szCs w:val="22"/>
          <w:lang w:val="es-CO"/>
        </w:rPr>
        <w:t xml:space="preserve">LABORAL </w:t>
      </w:r>
      <w:r w:rsidRPr="00B42B2D">
        <w:rPr>
          <w:rFonts w:ascii="Work Sans" w:hAnsi="Work Sans"/>
          <w:b/>
          <w:sz w:val="22"/>
          <w:szCs w:val="22"/>
          <w:lang w:val="es-CO"/>
        </w:rPr>
        <w:t>VIGENCIA 202</w:t>
      </w:r>
      <w:r w:rsidR="00470643">
        <w:rPr>
          <w:rFonts w:ascii="Work Sans" w:hAnsi="Work Sans"/>
          <w:b/>
          <w:sz w:val="22"/>
          <w:szCs w:val="22"/>
          <w:lang w:val="es-CO"/>
        </w:rPr>
        <w:t>3</w:t>
      </w:r>
    </w:p>
    <w:p w14:paraId="7B9BCD86" w14:textId="476EA1AF" w:rsidR="00A73725" w:rsidRDefault="00A73725" w:rsidP="00A73725">
      <w:pPr>
        <w:pStyle w:val="Textoindependiente"/>
        <w:spacing w:line="276" w:lineRule="auto"/>
        <w:ind w:left="720"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7FD29172" w14:textId="5D3AB237" w:rsidR="00BB318D" w:rsidRPr="00B42B2D" w:rsidRDefault="00BB318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La Subdirección de Talento Humano incluirá actividades de bienestar que vaya en beneficio de los servidores públicos y de su núcleo familiar, y que obedezca al plan de mejoramiento producto de la encuesta de riesgo psicosocial, construcción de valores y consolidación de cultura organizacional, implementación del sistema de gestión de salud y seguridad en el trabajo.</w:t>
      </w:r>
    </w:p>
    <w:p w14:paraId="2FD3DCCC" w14:textId="77777777" w:rsidR="00304BE2" w:rsidRPr="00B42B2D" w:rsidRDefault="00304BE2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D873BE2" w14:textId="6129697F" w:rsidR="00BB318D" w:rsidRDefault="00BB318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El Plan de Bienestar e Incentivos contempla los programas protección y servicios sociales; clima laboral, adaptación al cambio, programa de desvinculación asistida, cultura organizacional y trabajo en equipo; e incentivos para los mejores empleados.</w:t>
      </w:r>
    </w:p>
    <w:p w14:paraId="0CC111C5" w14:textId="77777777" w:rsidR="00DB0ABD" w:rsidRPr="00B42B2D" w:rsidRDefault="00DB0AB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4A2C5DC" w14:textId="7161BB96" w:rsidR="00304BE2" w:rsidRPr="00B42B2D" w:rsidRDefault="00567C60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Nuestro Plan de Bienestar Social Laboral, </w:t>
      </w:r>
      <w:r w:rsidR="00736887" w:rsidRPr="00B42B2D">
        <w:rPr>
          <w:rFonts w:ascii="Work Sans" w:hAnsi="Work Sans"/>
          <w:sz w:val="22"/>
          <w:szCs w:val="22"/>
          <w:lang w:val="es-CO"/>
        </w:rPr>
        <w:t xml:space="preserve">trabajara en los cinco (5) ejes que señala el Programa Nacional de Bienestar 2020 – 2022, así: </w:t>
      </w:r>
    </w:p>
    <w:p w14:paraId="565E3F5B" w14:textId="77777777" w:rsidR="00A73725" w:rsidRPr="00B42B2D" w:rsidRDefault="00A73725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589FBB0E" w14:textId="2EE0F061" w:rsidR="009F7C48" w:rsidRDefault="00BB318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 xml:space="preserve">6.1. </w:t>
      </w:r>
      <w:r w:rsidR="009F7C48" w:rsidRPr="00B42B2D">
        <w:rPr>
          <w:rFonts w:ascii="Work Sans" w:hAnsi="Work Sans"/>
          <w:b/>
          <w:sz w:val="22"/>
          <w:szCs w:val="22"/>
          <w:lang w:val="es-CO"/>
        </w:rPr>
        <w:t xml:space="preserve">Equilibrio Psicosocial </w:t>
      </w:r>
    </w:p>
    <w:p w14:paraId="067289CA" w14:textId="77777777" w:rsidR="00023884" w:rsidRPr="00B42B2D" w:rsidRDefault="00023884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66E00C58" w14:textId="0BC83E0D" w:rsidR="00142CF6" w:rsidRPr="00B42B2D" w:rsidRDefault="00142CF6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Cs/>
          <w:sz w:val="22"/>
          <w:szCs w:val="22"/>
          <w:lang w:val="es-CO"/>
        </w:rPr>
      </w:pPr>
      <w:r w:rsidRPr="00B42B2D">
        <w:rPr>
          <w:rFonts w:ascii="Work Sans" w:hAnsi="Work Sans"/>
          <w:bCs/>
          <w:sz w:val="22"/>
          <w:szCs w:val="22"/>
          <w:lang w:val="es-CO"/>
        </w:rPr>
        <w:t xml:space="preserve">Este eje hace referencia a la nueva forma de </w:t>
      </w:r>
      <w:r w:rsidR="006D1AF7" w:rsidRPr="00B42B2D">
        <w:rPr>
          <w:rFonts w:ascii="Work Sans" w:hAnsi="Work Sans"/>
          <w:bCs/>
          <w:sz w:val="22"/>
          <w:szCs w:val="22"/>
          <w:lang w:val="es-CO"/>
        </w:rPr>
        <w:t>adaptación</w:t>
      </w:r>
      <w:r w:rsidRPr="00B42B2D">
        <w:rPr>
          <w:rFonts w:ascii="Work Sans" w:hAnsi="Work Sans"/>
          <w:bCs/>
          <w:sz w:val="22"/>
          <w:szCs w:val="22"/>
          <w:lang w:val="es-CO"/>
        </w:rPr>
        <w:t xml:space="preserve"> laboral producto de los diferentes cambios que estamos viviendo durante la pandemia derivada del coronavirus COVID-19, como la adaptaci</w:t>
      </w:r>
      <w:r w:rsidR="00BA487A" w:rsidRPr="00B42B2D">
        <w:rPr>
          <w:rFonts w:ascii="Times New Roman" w:hAnsi="Times New Roman"/>
          <w:bCs/>
          <w:sz w:val="22"/>
          <w:szCs w:val="22"/>
          <w:lang w:val="es-CO"/>
        </w:rPr>
        <w:t>ó</w:t>
      </w:r>
      <w:r w:rsidRPr="00B42B2D">
        <w:rPr>
          <w:rFonts w:ascii="Work Sans" w:hAnsi="Work Sans"/>
          <w:bCs/>
          <w:sz w:val="22"/>
          <w:szCs w:val="22"/>
          <w:lang w:val="es-CO"/>
        </w:rPr>
        <w:t>n a nuevas situaciones, mayor volumen de trabajo y complejidad, extensi</w:t>
      </w:r>
      <w:r w:rsidR="006D1AF7" w:rsidRPr="00B42B2D">
        <w:rPr>
          <w:rFonts w:ascii="Work Sans" w:hAnsi="Work Sans"/>
          <w:bCs/>
          <w:sz w:val="22"/>
          <w:szCs w:val="22"/>
          <w:lang w:val="es-CO"/>
        </w:rPr>
        <w:t>ó</w:t>
      </w:r>
      <w:r w:rsidRPr="00B42B2D">
        <w:rPr>
          <w:rFonts w:ascii="Work Sans" w:hAnsi="Work Sans"/>
          <w:bCs/>
          <w:sz w:val="22"/>
          <w:szCs w:val="22"/>
          <w:lang w:val="es-CO"/>
        </w:rPr>
        <w:t>n de la jornada laboral, entre otros aspectos. Dentro de este eje se hace referencia a temas como factores intralaborales, extralaborales, equilibrio entre la vida personal, laboral y familiar y la calidad de vida laboral.</w:t>
      </w:r>
    </w:p>
    <w:p w14:paraId="7463405E" w14:textId="6BDBD4F7" w:rsidR="00142CF6" w:rsidRPr="00B42B2D" w:rsidRDefault="00142CF6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20969F15" w14:textId="0A07BE0B" w:rsidR="008127C3" w:rsidRPr="00B42B2D" w:rsidRDefault="00B0721A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bCs/>
          <w:sz w:val="22"/>
          <w:szCs w:val="22"/>
          <w:lang w:val="es-CO"/>
        </w:rPr>
        <w:t xml:space="preserve">Entre los programas que se incluyen en este eje, podemos encontrar </w:t>
      </w:r>
      <w:r w:rsidR="00BB318D" w:rsidRPr="00B42B2D">
        <w:rPr>
          <w:rFonts w:ascii="Work Sans" w:hAnsi="Work Sans"/>
          <w:sz w:val="22"/>
          <w:szCs w:val="22"/>
          <w:lang w:val="es-CO"/>
        </w:rPr>
        <w:t>los programas orientados a atender las necesidades de protección, ocio, identidad y aprendizaje del empleado y su familia, para mejorar sus niveles de salud, vivienda, recreación, cultura y educación, entre los que pueden realizarse los siguientes:</w:t>
      </w:r>
    </w:p>
    <w:p w14:paraId="66126550" w14:textId="77777777" w:rsidR="00BA487A" w:rsidRPr="00B42B2D" w:rsidRDefault="00BA487A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0AEE0163" w14:textId="77777777" w:rsidR="00E27231" w:rsidRPr="00B42B2D" w:rsidRDefault="00BB318D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Promoción de eventos deportivos, recreativos y vacacionales. </w:t>
      </w:r>
    </w:p>
    <w:p w14:paraId="5377FB15" w14:textId="77777777" w:rsidR="00E27231" w:rsidRPr="00B42B2D" w:rsidRDefault="00E27231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Eventos artísticos y culturales presenciales y/o virtuales. </w:t>
      </w:r>
    </w:p>
    <w:p w14:paraId="56AF1394" w14:textId="3CE82A0C" w:rsidR="00E27231" w:rsidRPr="00B42B2D" w:rsidRDefault="00E27231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Promoción del uso de la bicicleta como medio de transporte </w:t>
      </w:r>
    </w:p>
    <w:p w14:paraId="3EA16922" w14:textId="7407916E" w:rsidR="00E27231" w:rsidRPr="00B42B2D" w:rsidRDefault="00E27231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Celebración de cumpleaños</w:t>
      </w:r>
    </w:p>
    <w:p w14:paraId="56DB767D" w14:textId="3BEA32E2" w:rsidR="00E27231" w:rsidRPr="00B42B2D" w:rsidRDefault="00E27231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Programas de incentivos - reconocimientos por el buen desempeño</w:t>
      </w:r>
      <w:r w:rsidR="004561FA" w:rsidRPr="00B42B2D">
        <w:rPr>
          <w:rFonts w:ascii="Work Sans" w:hAnsi="Work Sans"/>
          <w:sz w:val="22"/>
          <w:szCs w:val="22"/>
          <w:lang w:val="es-CO"/>
        </w:rPr>
        <w:t>.</w:t>
      </w:r>
    </w:p>
    <w:p w14:paraId="458C130B" w14:textId="77FA69BD" w:rsidR="00E27231" w:rsidRPr="00B42B2D" w:rsidRDefault="00E27231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Acciones de preparación frente al cambio y de desvinculación laboral asistida o readaptación laboral cuando se den procesos de reforma organizacional </w:t>
      </w:r>
    </w:p>
    <w:p w14:paraId="2569E43F" w14:textId="6A66191B" w:rsidR="004561FA" w:rsidRPr="00B42B2D" w:rsidRDefault="004561FA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Manejo del tiempo libre y equilibrio de tiempos laborales </w:t>
      </w:r>
    </w:p>
    <w:p w14:paraId="19CC544A" w14:textId="62F0CC3E" w:rsidR="004561FA" w:rsidRPr="00B42B2D" w:rsidRDefault="004561FA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Acciones con ocasión del Día de la Niñez y la Recreación </w:t>
      </w:r>
    </w:p>
    <w:p w14:paraId="7432E1F9" w14:textId="37250A8D" w:rsidR="004561FA" w:rsidRDefault="004561FA" w:rsidP="00B42B2D">
      <w:pPr>
        <w:pStyle w:val="Textoindependiente"/>
        <w:numPr>
          <w:ilvl w:val="0"/>
          <w:numId w:val="19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Actividades especiales con ocasión del día de la familia y de compartir con las familias </w:t>
      </w:r>
    </w:p>
    <w:p w14:paraId="23129C17" w14:textId="77777777" w:rsidR="00A73725" w:rsidRPr="00B42B2D" w:rsidRDefault="00A73725" w:rsidP="00A73725">
      <w:pPr>
        <w:pStyle w:val="Textoindependiente"/>
        <w:spacing w:line="276" w:lineRule="auto"/>
        <w:ind w:left="644"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285FB74E" w14:textId="731CC7F9" w:rsidR="00E27231" w:rsidRDefault="00E27231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>6.2. Salud Mental</w:t>
      </w:r>
    </w:p>
    <w:p w14:paraId="32308123" w14:textId="77777777" w:rsidR="00023884" w:rsidRPr="00B42B2D" w:rsidRDefault="00023884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69A7CDB9" w14:textId="7B0048CE" w:rsidR="00107AEE" w:rsidRPr="00B42B2D" w:rsidRDefault="00107AEE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 xml:space="preserve">Este eje comprende la salud mental como el estado de bienestar con el que los servidores realizan sus actividades, son capaces de hacer frente al </w:t>
      </w:r>
      <w:r w:rsidR="006D1AF7" w:rsidRPr="00B42B2D">
        <w:rPr>
          <w:rFonts w:ascii="Work Sans" w:hAnsi="Work Sans"/>
          <w:sz w:val="22"/>
          <w:szCs w:val="22"/>
          <w:lang w:val="es-CO"/>
        </w:rPr>
        <w:t>estrés</w:t>
      </w:r>
      <w:r w:rsidRPr="00B42B2D">
        <w:rPr>
          <w:rFonts w:ascii="Work Sans" w:hAnsi="Work Sans"/>
          <w:sz w:val="22"/>
          <w:szCs w:val="22"/>
          <w:lang w:val="es-CO"/>
        </w:rPr>
        <w:t xml:space="preserve"> normal de la vida, trabajan de forma productiva y contribuyen a la comunidad. Así mismo, el eje incluye hábitos de vida saludables relacionados con: mantener la actividad física, nutrición saludable, prevenci</w:t>
      </w:r>
      <w:r w:rsidRPr="00B42B2D">
        <w:rPr>
          <w:rFonts w:ascii="Times New Roman" w:hAnsi="Times New Roman"/>
          <w:sz w:val="22"/>
          <w:szCs w:val="22"/>
          <w:lang w:val="es-CO"/>
        </w:rPr>
        <w:t>ó</w:t>
      </w:r>
      <w:r w:rsidRPr="00B42B2D">
        <w:rPr>
          <w:rFonts w:ascii="Work Sans" w:hAnsi="Work Sans"/>
          <w:sz w:val="22"/>
          <w:szCs w:val="22"/>
          <w:lang w:val="es-CO"/>
        </w:rPr>
        <w:t>n del consumo de tabaco y alcohol, lavado de manos, peso saludable, salud bucal, visual y auditiva, entre otros.</w:t>
      </w:r>
    </w:p>
    <w:p w14:paraId="4E937686" w14:textId="0EDCAD9C" w:rsidR="00107AEE" w:rsidRPr="00B42B2D" w:rsidRDefault="00107AEE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42FCE761" w14:textId="301D787F" w:rsidR="00107AEE" w:rsidRPr="00B42B2D" w:rsidRDefault="00107AEE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En este eje se realizarán actividades como:</w:t>
      </w:r>
    </w:p>
    <w:p w14:paraId="2BABF421" w14:textId="77777777" w:rsidR="00107AEE" w:rsidRPr="00B42B2D" w:rsidRDefault="00107AEE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4F6CEA6F" w14:textId="04130CDA" w:rsidR="00107AEE" w:rsidRPr="00B42B2D" w:rsidRDefault="00BB318D" w:rsidP="00B42B2D">
      <w:pPr>
        <w:pStyle w:val="Textoindependiente"/>
        <w:numPr>
          <w:ilvl w:val="0"/>
          <w:numId w:val="20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Actividades encaminadas a la promoción de la salud y prevención de la enfermedad</w:t>
      </w:r>
      <w:r w:rsidR="00107AEE"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.</w:t>
      </w:r>
    </w:p>
    <w:p w14:paraId="14C01253" w14:textId="77777777" w:rsidR="00107AEE" w:rsidRPr="00B42B2D" w:rsidRDefault="00107AEE" w:rsidP="00B42B2D">
      <w:pPr>
        <w:pStyle w:val="Textoindependiente"/>
        <w:numPr>
          <w:ilvl w:val="0"/>
          <w:numId w:val="20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Acompañamiento e implementación de estrategias para el mantenimiento de la salud mental.</w:t>
      </w:r>
    </w:p>
    <w:p w14:paraId="3F4E6450" w14:textId="77777777" w:rsidR="00107AEE" w:rsidRPr="00B42B2D" w:rsidRDefault="00107AEE" w:rsidP="00B42B2D">
      <w:pPr>
        <w:pStyle w:val="Textoindependiente"/>
        <w:numPr>
          <w:ilvl w:val="0"/>
          <w:numId w:val="20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Manejo de ansiedad y depresión por el aislamiento </w:t>
      </w:r>
    </w:p>
    <w:p w14:paraId="106799D9" w14:textId="77777777" w:rsidR="00470643" w:rsidRDefault="00107AEE" w:rsidP="000D4956">
      <w:pPr>
        <w:pStyle w:val="Pa4"/>
        <w:spacing w:after="280" w:line="276" w:lineRule="auto"/>
        <w:jc w:val="both"/>
        <w:rPr>
          <w:rFonts w:cs="Flama Book"/>
          <w:color w:val="000000"/>
          <w:sz w:val="22"/>
          <w:szCs w:val="22"/>
          <w:lang w:val="es-CO"/>
        </w:rPr>
      </w:pPr>
      <w:r w:rsidRPr="00B42B2D">
        <w:rPr>
          <w:rFonts w:cs="Flama Book"/>
          <w:color w:val="000000"/>
          <w:sz w:val="22"/>
          <w:szCs w:val="22"/>
          <w:lang w:val="es-CO"/>
        </w:rPr>
        <w:t xml:space="preserve"> </w:t>
      </w:r>
    </w:p>
    <w:p w14:paraId="424C4C2C" w14:textId="4AAAAACF" w:rsidR="00107AEE" w:rsidRDefault="001609C8" w:rsidP="000D4956">
      <w:pPr>
        <w:pStyle w:val="Pa4"/>
        <w:spacing w:after="280" w:line="276" w:lineRule="auto"/>
        <w:jc w:val="both"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 xml:space="preserve">6.3. </w:t>
      </w:r>
      <w:bookmarkStart w:id="4" w:name="_Hlk93299412"/>
      <w:r w:rsidRPr="00B42B2D">
        <w:rPr>
          <w:rFonts w:ascii="Work Sans" w:hAnsi="Work Sans"/>
          <w:b/>
          <w:sz w:val="22"/>
          <w:szCs w:val="22"/>
          <w:lang w:val="es-CO"/>
        </w:rPr>
        <w:t>Convivencia social</w:t>
      </w:r>
    </w:p>
    <w:bookmarkEnd w:id="4"/>
    <w:p w14:paraId="67818B9D" w14:textId="73687970" w:rsidR="001609C8" w:rsidRPr="00B42B2D" w:rsidRDefault="001609C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Este eje hace referencia a las acciones que las entidades deben implementar</w:t>
      </w:r>
      <w:r w:rsidR="00BA487A"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relacionadas con inclus</w:t>
      </w:r>
      <w:r w:rsidR="00086D77"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ió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n, diversidad, equidad y representatividad.</w:t>
      </w:r>
    </w:p>
    <w:p w14:paraId="6B69671F" w14:textId="45A60CCB" w:rsidR="001609C8" w:rsidRPr="00B42B2D" w:rsidRDefault="001609C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0E459D64" w14:textId="134C6C71" w:rsidR="001609C8" w:rsidRPr="00B42B2D" w:rsidRDefault="001609C8" w:rsidP="00B42B2D">
      <w:pPr>
        <w:pStyle w:val="Textoindependiente"/>
        <w:numPr>
          <w:ilvl w:val="0"/>
          <w:numId w:val="24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Acciones para promover la inclusión laboral, diversidad y equidad.</w:t>
      </w:r>
    </w:p>
    <w:p w14:paraId="2E61E4F4" w14:textId="7E648656" w:rsidR="001609C8" w:rsidRPr="00B42B2D" w:rsidRDefault="001609C8" w:rsidP="00B42B2D">
      <w:pPr>
        <w:pStyle w:val="Textoindependiente"/>
        <w:numPr>
          <w:ilvl w:val="0"/>
          <w:numId w:val="24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Actividades para concientizar sobre los derechos civiles, políticos, económicos, sociales y culturales</w:t>
      </w:r>
      <w:r w:rsidR="00DB0ABD">
        <w:rPr>
          <w:rFonts w:ascii="Work Sans" w:hAnsi="Work Sans"/>
          <w:color w:val="000000" w:themeColor="text1"/>
          <w:sz w:val="22"/>
          <w:szCs w:val="22"/>
          <w:lang w:val="es-CO"/>
        </w:rPr>
        <w:t>.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</w:t>
      </w:r>
    </w:p>
    <w:p w14:paraId="2B0F6EE7" w14:textId="1A79A074" w:rsidR="00E0331D" w:rsidRDefault="00E0331D" w:rsidP="00B42B2D">
      <w:pPr>
        <w:pStyle w:val="Textoindependiente"/>
        <w:numPr>
          <w:ilvl w:val="0"/>
          <w:numId w:val="24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Actividades de identificación y detección de situaciones asociadas al acoso laboral, sexual, ciberacoso y abuso de poder</w:t>
      </w:r>
      <w:r w:rsidR="00DB0ABD">
        <w:rPr>
          <w:rFonts w:ascii="Work Sans" w:hAnsi="Work Sans"/>
          <w:color w:val="000000" w:themeColor="text1"/>
          <w:sz w:val="22"/>
          <w:szCs w:val="22"/>
          <w:lang w:val="es-CO"/>
        </w:rPr>
        <w:t>.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</w:t>
      </w:r>
    </w:p>
    <w:p w14:paraId="40874674" w14:textId="7185DAB8" w:rsidR="00023884" w:rsidRDefault="00023884" w:rsidP="00023884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76802398" w14:textId="77777777" w:rsidR="00470643" w:rsidRDefault="00470643" w:rsidP="00023884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5885DD9B" w14:textId="3B9ED947" w:rsidR="00E0331D" w:rsidRDefault="00E0331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 xml:space="preserve">6.3.1. Clima Laboral: </w:t>
      </w:r>
    </w:p>
    <w:p w14:paraId="58023D47" w14:textId="77777777" w:rsidR="00023884" w:rsidRPr="00B42B2D" w:rsidRDefault="00023884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7A8B0FFB" w14:textId="56F85AB9" w:rsidR="00E0331D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FE7E78">
        <w:rPr>
          <w:rFonts w:ascii="Work Sans" w:hAnsi="Work Sans"/>
          <w:sz w:val="22"/>
          <w:szCs w:val="22"/>
          <w:lang w:val="es-CO"/>
        </w:rPr>
        <w:t>El Ministerio de Minas y Energía ha desarrollado durante los últimos años, diferentes iniciativas para el fortalecimiento institucional y sectorial y la transformación cultural de la entidad. Algunas de estas iniciativas se han apoyado en diferentes acciones dirigidas a los servidores de la entidad en busca del desarrollo de competencias, la gestión del conocimiento, la conformación de equipos de alto desempeño, entre otros</w:t>
      </w:r>
      <w:r w:rsidR="00E0331D"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.</w:t>
      </w:r>
    </w:p>
    <w:p w14:paraId="5C88D660" w14:textId="0BA3DBDC" w:rsidR="00FE7E78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52DC2817" w14:textId="5BED09A8" w:rsidR="00FE7E78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Entre el 4 de noviembre y el 16 de diciembre de 2022, se realizó </w:t>
      </w:r>
      <w:r w:rsidRPr="00FE7E78">
        <w:rPr>
          <w:rFonts w:ascii="Work Sans" w:hAnsi="Work Sans"/>
          <w:color w:val="000000" w:themeColor="text1"/>
          <w:sz w:val="22"/>
          <w:szCs w:val="22"/>
          <w:lang w:val="es-CO"/>
        </w:rPr>
        <w:t>el sondeo de engagement 2022</w:t>
      </w: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, entre los que encontramos que </w:t>
      </w:r>
      <w:r w:rsidR="000B5A21">
        <w:rPr>
          <w:rFonts w:ascii="Work Sans" w:hAnsi="Work Sans"/>
          <w:color w:val="000000" w:themeColor="text1"/>
          <w:sz w:val="22"/>
          <w:szCs w:val="22"/>
          <w:lang w:val="es-CO"/>
        </w:rPr>
        <w:t>más</w:t>
      </w: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del 65% de los encuestados sienten pasión por su trabajo y mas del 60% esta entusiasmado por trabajar en el Ministerio. </w:t>
      </w:r>
    </w:p>
    <w:p w14:paraId="76A3B202" w14:textId="77777777" w:rsidR="00FE7E78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46C2E442" w14:textId="77777777" w:rsidR="00FE7E78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Donde mas del 75% de los encuestados señala que la conciliación de los Espacios Laborales y Familiares han mejorado su calidad de vida y mas del 60% señalan que están de acuerdo con que el liderazgo ha mejorado en sus respectivas áreas. </w:t>
      </w:r>
    </w:p>
    <w:p w14:paraId="7C18E0B3" w14:textId="788666AB" w:rsidR="00FE7E78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571D9E70" w14:textId="004A31E6" w:rsidR="000B5A21" w:rsidRDefault="000B5A21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Estos resultados son insumos fundamentales para el Plan de Bienestar Laboral. </w:t>
      </w:r>
    </w:p>
    <w:p w14:paraId="0E907FDC" w14:textId="10BD4ABE" w:rsidR="00E0331D" w:rsidRPr="00B42B2D" w:rsidRDefault="00FE7E78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</w:t>
      </w:r>
      <w:r w:rsidRPr="00FE7E78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 </w:t>
      </w:r>
    </w:p>
    <w:p w14:paraId="4BBBE4C7" w14:textId="395196FF" w:rsidR="00E0331D" w:rsidRDefault="00E0331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b/>
          <w:color w:val="000000" w:themeColor="text1"/>
          <w:sz w:val="22"/>
          <w:szCs w:val="22"/>
          <w:lang w:val="es-CO"/>
        </w:rPr>
        <w:t>6.4. Alianzas interinstitucionales</w:t>
      </w:r>
    </w:p>
    <w:p w14:paraId="0A1A863D" w14:textId="77777777" w:rsidR="00023884" w:rsidRPr="00B42B2D" w:rsidRDefault="00023884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b/>
          <w:color w:val="000000" w:themeColor="text1"/>
          <w:sz w:val="22"/>
          <w:szCs w:val="22"/>
          <w:lang w:val="es-CO"/>
        </w:rPr>
      </w:pPr>
    </w:p>
    <w:p w14:paraId="6708B8EA" w14:textId="17CF1495" w:rsidR="00E0331D" w:rsidRPr="00B42B2D" w:rsidRDefault="00E0331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lastRenderedPageBreak/>
        <w:t>Este se articula con el objetivo de desarrollo sostenible 17 que establece la importancia de establecer alianzas interinstitucionales para el cumplimiento de estos objetivos, para esto, se abordar</w:t>
      </w:r>
      <w:r w:rsidRPr="00B42B2D">
        <w:rPr>
          <w:rFonts w:ascii="Times New Roman" w:hAnsi="Times New Roman"/>
          <w:color w:val="000000" w:themeColor="text1"/>
          <w:sz w:val="22"/>
          <w:szCs w:val="22"/>
          <w:lang w:val="es-CO"/>
        </w:rPr>
        <w:t> 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n los siguientes componentes: coordinac</w:t>
      </w:r>
      <w:r w:rsidR="00086D77"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ió</w:t>
      </w: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n interinstitucional y fomento de buenas prácticas.</w:t>
      </w:r>
    </w:p>
    <w:p w14:paraId="76ED4623" w14:textId="07A8AF3E" w:rsidR="00E0331D" w:rsidRPr="00B42B2D" w:rsidRDefault="00E0331D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</w:p>
    <w:p w14:paraId="31D16C21" w14:textId="05EA29E8" w:rsidR="00E0331D" w:rsidRPr="00B42B2D" w:rsidRDefault="00E0331D" w:rsidP="00B42B2D">
      <w:pPr>
        <w:pStyle w:val="Textoindependiente"/>
        <w:numPr>
          <w:ilvl w:val="0"/>
          <w:numId w:val="25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Celebración de convenios interadministrativos para el cumplimiento de actividades de bienestar </w:t>
      </w:r>
    </w:p>
    <w:p w14:paraId="59958347" w14:textId="466FDC93" w:rsidR="00E0331D" w:rsidRPr="00B42B2D" w:rsidRDefault="00E0331D" w:rsidP="00B42B2D">
      <w:pPr>
        <w:pStyle w:val="Textoindependiente"/>
        <w:numPr>
          <w:ilvl w:val="0"/>
          <w:numId w:val="25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B42B2D">
        <w:rPr>
          <w:rFonts w:ascii="Work Sans" w:hAnsi="Work Sans"/>
          <w:color w:val="000000" w:themeColor="text1"/>
          <w:sz w:val="22"/>
          <w:szCs w:val="22"/>
          <w:lang w:val="es-CO"/>
        </w:rPr>
        <w:t>realizar el reconocimiento social de los mejores dentro de los grupos de trabajo o dependencias</w:t>
      </w:r>
    </w:p>
    <w:p w14:paraId="01E1DEBA" w14:textId="7712FC61" w:rsidR="00AA34C5" w:rsidRDefault="00086D77" w:rsidP="00B42B2D">
      <w:pPr>
        <w:pStyle w:val="Textoindependiente"/>
        <w:numPr>
          <w:ilvl w:val="1"/>
          <w:numId w:val="8"/>
        </w:numPr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>PLAN DE INCENTIVOS</w:t>
      </w:r>
    </w:p>
    <w:p w14:paraId="2E690974" w14:textId="77777777" w:rsidR="00436DAF" w:rsidRPr="00B42B2D" w:rsidRDefault="00436DAF" w:rsidP="00436DAF">
      <w:pPr>
        <w:pStyle w:val="Textoindependiente"/>
        <w:spacing w:line="276" w:lineRule="auto"/>
        <w:ind w:left="1440"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29F19234" w14:textId="0A7BACBB" w:rsidR="00460438" w:rsidRDefault="006273A7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Para la vigencia 202</w:t>
      </w:r>
      <w:r w:rsidR="00470643">
        <w:rPr>
          <w:rFonts w:ascii="Work Sans" w:hAnsi="Work Sans"/>
          <w:sz w:val="22"/>
          <w:szCs w:val="22"/>
          <w:lang w:val="es-CO"/>
        </w:rPr>
        <w:t>3</w:t>
      </w:r>
      <w:r w:rsidRPr="00B42B2D">
        <w:rPr>
          <w:rFonts w:ascii="Work Sans" w:hAnsi="Work Sans"/>
          <w:sz w:val="22"/>
          <w:szCs w:val="22"/>
          <w:lang w:val="es-CO"/>
        </w:rPr>
        <w:t xml:space="preserve"> y acorde con los recursos existentes se propone otorgar incentivos </w:t>
      </w:r>
      <w:r w:rsidR="00AA34C5" w:rsidRPr="00B42B2D">
        <w:rPr>
          <w:rFonts w:ascii="Work Sans" w:hAnsi="Work Sans"/>
          <w:sz w:val="22"/>
          <w:szCs w:val="22"/>
          <w:lang w:val="es-CO"/>
        </w:rPr>
        <w:t xml:space="preserve">no </w:t>
      </w:r>
      <w:r w:rsidRPr="00B42B2D">
        <w:rPr>
          <w:rFonts w:ascii="Work Sans" w:hAnsi="Work Sans"/>
          <w:sz w:val="22"/>
          <w:szCs w:val="22"/>
          <w:lang w:val="es-CO"/>
        </w:rPr>
        <w:t>pecuniarios para</w:t>
      </w:r>
      <w:r w:rsidR="00460438" w:rsidRPr="00B42B2D">
        <w:rPr>
          <w:rFonts w:ascii="Work Sans" w:hAnsi="Work Sans"/>
          <w:sz w:val="22"/>
          <w:szCs w:val="22"/>
          <w:lang w:val="es-CO"/>
        </w:rPr>
        <w:t>:</w:t>
      </w:r>
    </w:p>
    <w:p w14:paraId="459E2C91" w14:textId="77777777" w:rsidR="00470643" w:rsidRPr="00B42B2D" w:rsidRDefault="00470643" w:rsidP="00B42B2D">
      <w:pPr>
        <w:pStyle w:val="Textoindependiente"/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</w:p>
    <w:p w14:paraId="19C207AF" w14:textId="2DC062EB" w:rsidR="00460438" w:rsidRPr="00701DF7" w:rsidRDefault="00460438" w:rsidP="00B42B2D">
      <w:pPr>
        <w:pStyle w:val="Textoindependiente"/>
        <w:numPr>
          <w:ilvl w:val="0"/>
          <w:numId w:val="10"/>
        </w:numPr>
        <w:spacing w:line="276" w:lineRule="auto"/>
        <w:ind w:right="51"/>
        <w:contextualSpacing/>
        <w:rPr>
          <w:rFonts w:ascii="Work Sans" w:hAnsi="Work Sans"/>
          <w:color w:val="000000" w:themeColor="text1"/>
          <w:sz w:val="22"/>
          <w:szCs w:val="22"/>
          <w:lang w:val="es-CO"/>
        </w:rPr>
      </w:pPr>
      <w:r w:rsidRPr="00701DF7">
        <w:rPr>
          <w:rFonts w:ascii="Work Sans" w:hAnsi="Work Sans"/>
          <w:color w:val="000000" w:themeColor="text1"/>
          <w:sz w:val="22"/>
          <w:szCs w:val="22"/>
          <w:lang w:val="es-CO"/>
        </w:rPr>
        <w:t xml:space="preserve">Incentivos consistentes en beneficios de formación en el país o en el exterior en habilidades gerenciales y directivas para equipos de trabajo o servidores, según la disponibilidad presupuestal y resultados del proceso de selección previo. </w:t>
      </w:r>
    </w:p>
    <w:p w14:paraId="06E62F77" w14:textId="6410A67A" w:rsidR="002B73A6" w:rsidRPr="00B42B2D" w:rsidRDefault="00BF7592" w:rsidP="00B42B2D">
      <w:pPr>
        <w:pStyle w:val="Textoindependiente"/>
        <w:numPr>
          <w:ilvl w:val="0"/>
          <w:numId w:val="10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Incentivos no pecuniarios</w:t>
      </w:r>
      <w:r w:rsidR="002B73A6" w:rsidRPr="00B42B2D">
        <w:rPr>
          <w:rFonts w:ascii="Work Sans" w:hAnsi="Work Sans"/>
          <w:sz w:val="22"/>
          <w:szCs w:val="22"/>
          <w:lang w:val="es-CO"/>
        </w:rPr>
        <w:t xml:space="preserve"> </w:t>
      </w:r>
      <w:r w:rsidR="001A58C2" w:rsidRPr="00B42B2D">
        <w:rPr>
          <w:rFonts w:ascii="Work Sans" w:hAnsi="Work Sans"/>
          <w:sz w:val="22"/>
          <w:szCs w:val="22"/>
          <w:lang w:val="es-CO"/>
        </w:rPr>
        <w:t>para servidores que presenten proyectos de intraemprendimiento según la disponibilidad presupuestal y resultados del proceso de selección previo.</w:t>
      </w:r>
    </w:p>
    <w:p w14:paraId="1D037D7B" w14:textId="188298A7" w:rsidR="00460438" w:rsidRPr="00B42B2D" w:rsidRDefault="00460438" w:rsidP="00B42B2D">
      <w:pPr>
        <w:pStyle w:val="Textoindependiente"/>
        <w:numPr>
          <w:ilvl w:val="0"/>
          <w:numId w:val="10"/>
        </w:numPr>
        <w:spacing w:line="276" w:lineRule="auto"/>
        <w:ind w:right="51"/>
        <w:contextualSpacing/>
        <w:rPr>
          <w:rFonts w:ascii="Work Sans" w:hAnsi="Work Sans"/>
          <w:sz w:val="22"/>
          <w:szCs w:val="22"/>
          <w:lang w:val="es-CO"/>
        </w:rPr>
      </w:pPr>
      <w:r w:rsidRPr="00B42B2D">
        <w:rPr>
          <w:rFonts w:ascii="Work Sans" w:hAnsi="Work Sans"/>
          <w:sz w:val="22"/>
          <w:szCs w:val="22"/>
          <w:lang w:val="es-CO"/>
        </w:rPr>
        <w:t>Mej</w:t>
      </w:r>
      <w:r w:rsidR="006273A7" w:rsidRPr="00B42B2D">
        <w:rPr>
          <w:rFonts w:ascii="Work Sans" w:hAnsi="Work Sans"/>
          <w:sz w:val="22"/>
          <w:szCs w:val="22"/>
          <w:lang w:val="es-CO"/>
        </w:rPr>
        <w:t>or empleado de carrera administrativa del Ministerio de Minas y Energía, el mejor empleado de carrera administrativa del nivel asesor, el mejor empleado de carrera administrativa del nivel profesional, el mejor empleado de carrera administrativa del nivel técnico y el mejor empleado de libre nombramiento y remoción;</w:t>
      </w:r>
      <w:r w:rsidRPr="00B42B2D">
        <w:rPr>
          <w:rFonts w:ascii="Work Sans" w:hAnsi="Work Sans"/>
          <w:sz w:val="22"/>
          <w:szCs w:val="22"/>
          <w:lang w:val="es-CO"/>
        </w:rPr>
        <w:t xml:space="preserve"> en cumplimiento de la normatividad vigente.</w:t>
      </w:r>
    </w:p>
    <w:p w14:paraId="6559D1CC" w14:textId="77777777" w:rsidR="00AA34C5" w:rsidRPr="00B42B2D" w:rsidRDefault="00AA34C5" w:rsidP="00B42B2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Work Sans" w:eastAsia="Times New Roman" w:hAnsi="Work Sans"/>
          <w:lang w:eastAsia="es-ES"/>
        </w:rPr>
      </w:pPr>
      <w:r w:rsidRPr="00B42B2D">
        <w:rPr>
          <w:rFonts w:ascii="Work Sans" w:eastAsia="Times New Roman" w:hAnsi="Work Sans"/>
          <w:lang w:eastAsia="es-ES"/>
        </w:rPr>
        <w:t>Incentivos asignados al desempeño por equipos de trabajo, El Ministerio de Minas y Energía otorgará incentivos pecuniarios al equipo de trabajo que ocupe el primer lugar, según la disponibilidad presupuestal establecida para tal efecto, e incentivos no pecuniarios consistentes en bonos de bienestar social al equipo que ocupe el segundo lugar en la selección.</w:t>
      </w:r>
    </w:p>
    <w:p w14:paraId="18ABB3CA" w14:textId="3A813D99" w:rsidR="003726F4" w:rsidRPr="00B42B2D" w:rsidRDefault="003726F4" w:rsidP="00B42B2D">
      <w:pPr>
        <w:pStyle w:val="Textoindependiente"/>
        <w:numPr>
          <w:ilvl w:val="1"/>
          <w:numId w:val="8"/>
        </w:numPr>
        <w:spacing w:line="276" w:lineRule="auto"/>
        <w:ind w:right="51"/>
        <w:contextualSpacing/>
        <w:jc w:val="center"/>
        <w:rPr>
          <w:rFonts w:ascii="Work Sans" w:hAnsi="Work Sans"/>
          <w:b/>
          <w:sz w:val="22"/>
          <w:szCs w:val="22"/>
          <w:lang w:val="es-CO"/>
        </w:rPr>
      </w:pPr>
      <w:r w:rsidRPr="00B42B2D">
        <w:rPr>
          <w:rFonts w:ascii="Work Sans" w:hAnsi="Work Sans"/>
          <w:b/>
          <w:sz w:val="22"/>
          <w:szCs w:val="22"/>
          <w:lang w:val="es-CO"/>
        </w:rPr>
        <w:t xml:space="preserve">DESARROLLO </w:t>
      </w:r>
      <w:r w:rsidR="00360168" w:rsidRPr="00B42B2D">
        <w:rPr>
          <w:rFonts w:ascii="Work Sans" w:hAnsi="Work Sans"/>
          <w:b/>
          <w:sz w:val="22"/>
          <w:szCs w:val="22"/>
          <w:lang w:val="es-CO"/>
        </w:rPr>
        <w:t xml:space="preserve">Y PRESUPUESTO </w:t>
      </w:r>
      <w:r w:rsidRPr="00B42B2D">
        <w:rPr>
          <w:rFonts w:ascii="Work Sans" w:hAnsi="Work Sans"/>
          <w:b/>
          <w:sz w:val="22"/>
          <w:szCs w:val="22"/>
          <w:lang w:val="es-CO"/>
        </w:rPr>
        <w:t>DE ACTIVIDADES</w:t>
      </w:r>
    </w:p>
    <w:p w14:paraId="0B24E243" w14:textId="77777777" w:rsidR="00AD2573" w:rsidRPr="00B42B2D" w:rsidRDefault="00AD2573" w:rsidP="00B42B2D">
      <w:pPr>
        <w:pStyle w:val="Textoindependiente"/>
        <w:spacing w:line="276" w:lineRule="auto"/>
        <w:ind w:left="1440" w:right="51"/>
        <w:contextualSpacing/>
        <w:rPr>
          <w:rFonts w:ascii="Work Sans" w:hAnsi="Work Sans"/>
          <w:b/>
          <w:sz w:val="22"/>
          <w:szCs w:val="22"/>
          <w:lang w:val="es-CO"/>
        </w:rPr>
      </w:pPr>
    </w:p>
    <w:p w14:paraId="52131241" w14:textId="77777777" w:rsidR="003726F4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t xml:space="preserve">Esta programación de actividades se consolidará en un anexo el cual hará parte integrante del presente documento. </w:t>
      </w:r>
    </w:p>
    <w:p w14:paraId="424D53DC" w14:textId="7FB5C990" w:rsidR="003726F4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color w:val="000000" w:themeColor="text1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t xml:space="preserve">El Plan de Bienestar Social e Incentivos se llevará a cabo en forma directa o mediante contratación con personas naturales o jurídicas, o a través de los organismos encargados </w:t>
      </w:r>
      <w:r w:rsidRPr="00B42B2D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de la protección, la seguridad social y los servicios sociales, según sea la necesidad o la problemática que resolver, y </w:t>
      </w:r>
      <w:r w:rsidR="00470643" w:rsidRPr="00B42B2D">
        <w:rPr>
          <w:rFonts w:ascii="Work Sans" w:eastAsia="Times New Roman" w:hAnsi="Work Sans" w:cs="Times New Roman"/>
          <w:color w:val="000000" w:themeColor="text1"/>
          <w:lang w:eastAsia="es-ES"/>
        </w:rPr>
        <w:t>de acuerdo con</w:t>
      </w:r>
      <w:r w:rsidRPr="00B42B2D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 la disponibilidad presupuestal. </w:t>
      </w:r>
    </w:p>
    <w:p w14:paraId="718542E7" w14:textId="30E1718A" w:rsidR="00360168" w:rsidRPr="00701DF7" w:rsidRDefault="00360168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color w:val="000000" w:themeColor="text1"/>
          <w:lang w:eastAsia="es-ES"/>
        </w:rPr>
      </w:pPr>
      <w:r w:rsidRPr="00701DF7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El presupuesto establecido para la realización de las actividades de Bienestar e Incentivos </w:t>
      </w:r>
      <w:r w:rsidR="00464A52" w:rsidRPr="00701DF7">
        <w:rPr>
          <w:rFonts w:ascii="Work Sans" w:eastAsia="Times New Roman" w:hAnsi="Work Sans" w:cs="Times New Roman"/>
          <w:color w:val="000000" w:themeColor="text1"/>
          <w:lang w:eastAsia="es-ES"/>
        </w:rPr>
        <w:t>para la vigencia 202</w:t>
      </w:r>
      <w:r w:rsidR="00470643" w:rsidRPr="00701DF7">
        <w:rPr>
          <w:rFonts w:ascii="Work Sans" w:eastAsia="Times New Roman" w:hAnsi="Work Sans" w:cs="Times New Roman"/>
          <w:color w:val="000000" w:themeColor="text1"/>
          <w:lang w:eastAsia="es-ES"/>
        </w:rPr>
        <w:t>3</w:t>
      </w:r>
      <w:r w:rsidR="00464A52" w:rsidRPr="00701DF7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 </w:t>
      </w:r>
      <w:r w:rsidRPr="00701DF7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es </w:t>
      </w:r>
      <w:r w:rsidR="000B5A21" w:rsidRPr="00701DF7">
        <w:rPr>
          <w:rFonts w:ascii="Work Sans" w:eastAsia="Times New Roman" w:hAnsi="Work Sans" w:cs="Times New Roman"/>
          <w:color w:val="000000" w:themeColor="text1"/>
          <w:lang w:eastAsia="es-ES"/>
        </w:rPr>
        <w:t xml:space="preserve">cercano a los </w:t>
      </w:r>
      <w:r w:rsidRPr="00701DF7">
        <w:rPr>
          <w:rFonts w:ascii="Work Sans" w:eastAsia="Times New Roman" w:hAnsi="Work Sans" w:cs="Times New Roman"/>
          <w:color w:val="000000" w:themeColor="text1"/>
          <w:lang w:eastAsia="es-ES"/>
        </w:rPr>
        <w:t>$ 9</w:t>
      </w:r>
      <w:r w:rsidR="00086D77" w:rsidRPr="00701DF7">
        <w:rPr>
          <w:rFonts w:ascii="Work Sans" w:eastAsia="Times New Roman" w:hAnsi="Work Sans" w:cs="Times New Roman"/>
          <w:color w:val="000000" w:themeColor="text1"/>
          <w:lang w:eastAsia="es-ES"/>
        </w:rPr>
        <w:t>0</w:t>
      </w:r>
      <w:r w:rsidRPr="00701DF7">
        <w:rPr>
          <w:rFonts w:ascii="Work Sans" w:eastAsia="Times New Roman" w:hAnsi="Work Sans" w:cs="Times New Roman"/>
          <w:color w:val="000000" w:themeColor="text1"/>
          <w:lang w:eastAsia="es-ES"/>
        </w:rPr>
        <w:t>.000.000</w:t>
      </w:r>
      <w:r w:rsidR="00D539E3" w:rsidRPr="00701DF7">
        <w:rPr>
          <w:rFonts w:ascii="Work Sans" w:eastAsia="Times New Roman" w:hAnsi="Work Sans" w:cs="Times New Roman"/>
          <w:color w:val="000000" w:themeColor="text1"/>
          <w:lang w:eastAsia="es-ES"/>
        </w:rPr>
        <w:t>.</w:t>
      </w:r>
    </w:p>
    <w:p w14:paraId="58EB7971" w14:textId="3D975AC0" w:rsidR="003726F4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t>Evaluación y seguimiento a los programas adelantados: Se aplicará al finalizar cada evento un formato d</w:t>
      </w:r>
      <w:r w:rsidR="00991939" w:rsidRPr="00B42B2D">
        <w:rPr>
          <w:rFonts w:ascii="Work Sans" w:eastAsia="Times New Roman" w:hAnsi="Work Sans" w:cs="Times New Roman"/>
          <w:lang w:eastAsia="es-ES"/>
        </w:rPr>
        <w:t xml:space="preserve">e evaluación, para verificar el grado de satisfacción y la eficacia </w:t>
      </w:r>
      <w:r w:rsidRPr="00B42B2D">
        <w:rPr>
          <w:rFonts w:ascii="Work Sans" w:eastAsia="Times New Roman" w:hAnsi="Work Sans" w:cs="Times New Roman"/>
          <w:lang w:eastAsia="es-ES"/>
        </w:rPr>
        <w:t xml:space="preserve">de estos y decidir sobre su modificación o continuidad. (Artículo 25 del Decreto 1567 de 1998). </w:t>
      </w:r>
    </w:p>
    <w:p w14:paraId="09310372" w14:textId="3924E215" w:rsidR="00991939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lastRenderedPageBreak/>
        <w:t>Indicadores: Se llevará a cabo la medición y seguimiento en los sigui</w:t>
      </w:r>
      <w:r w:rsidR="00991939" w:rsidRPr="00B42B2D">
        <w:rPr>
          <w:rFonts w:ascii="Work Sans" w:eastAsia="Times New Roman" w:hAnsi="Work Sans" w:cs="Times New Roman"/>
          <w:lang w:eastAsia="es-ES"/>
        </w:rPr>
        <w:t xml:space="preserve">entes aspectos: - Cumplimiento: </w:t>
      </w:r>
      <w:r w:rsidRPr="00B42B2D">
        <w:rPr>
          <w:rFonts w:ascii="Work Sans" w:eastAsia="Times New Roman" w:hAnsi="Work Sans" w:cs="Times New Roman"/>
          <w:lang w:eastAsia="es-ES"/>
        </w:rPr>
        <w:t xml:space="preserve"># actividades realizadas / actividades programadas </w:t>
      </w:r>
    </w:p>
    <w:p w14:paraId="044EE069" w14:textId="0A26F042" w:rsidR="00991939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t xml:space="preserve">Cobertura: # servidores participantes / # servidores vinculados </w:t>
      </w:r>
      <w:r w:rsidR="00991939" w:rsidRPr="00B42B2D">
        <w:rPr>
          <w:rFonts w:ascii="Work Sans" w:eastAsia="Times New Roman" w:hAnsi="Work Sans" w:cs="Times New Roman"/>
          <w:lang w:eastAsia="es-ES"/>
        </w:rPr>
        <w:t>–</w:t>
      </w:r>
    </w:p>
    <w:p w14:paraId="16C9E46F" w14:textId="7219395E" w:rsidR="00991939" w:rsidRPr="00B42B2D" w:rsidRDefault="003726F4" w:rsidP="00B42B2D">
      <w:pPr>
        <w:autoSpaceDE w:val="0"/>
        <w:autoSpaceDN w:val="0"/>
        <w:adjustRightInd w:val="0"/>
        <w:jc w:val="both"/>
        <w:rPr>
          <w:rFonts w:ascii="Work Sans" w:eastAsia="Times New Roman" w:hAnsi="Work Sans" w:cs="Times New Roman"/>
          <w:lang w:eastAsia="es-ES"/>
        </w:rPr>
      </w:pPr>
      <w:r w:rsidRPr="00B42B2D">
        <w:rPr>
          <w:rFonts w:ascii="Work Sans" w:eastAsia="Times New Roman" w:hAnsi="Work Sans" w:cs="Times New Roman"/>
          <w:lang w:eastAsia="es-ES"/>
        </w:rPr>
        <w:t>Impacto: encuesta a los participantes sobre la actividad desarrollada</w:t>
      </w:r>
      <w:r w:rsidR="00460438" w:rsidRPr="00B42B2D">
        <w:rPr>
          <w:rFonts w:ascii="Work Sans" w:eastAsia="Times New Roman" w:hAnsi="Work Sans" w:cs="Times New Roman"/>
          <w:lang w:eastAsia="es-ES"/>
        </w:rPr>
        <w:t xml:space="preserve"> y su nivel de satisfacción y recordación.</w:t>
      </w:r>
      <w:r w:rsidRPr="00B42B2D">
        <w:rPr>
          <w:rFonts w:ascii="Work Sans" w:eastAsia="Times New Roman" w:hAnsi="Work Sans" w:cs="Times New Roman"/>
          <w:lang w:eastAsia="es-ES"/>
        </w:rPr>
        <w:t xml:space="preserve"> </w:t>
      </w:r>
    </w:p>
    <w:p w14:paraId="41499678" w14:textId="383807BA" w:rsidR="00CC634C" w:rsidRPr="00B42B2D" w:rsidRDefault="003726F4" w:rsidP="000D4956">
      <w:pPr>
        <w:autoSpaceDE w:val="0"/>
        <w:autoSpaceDN w:val="0"/>
        <w:adjustRightInd w:val="0"/>
        <w:jc w:val="both"/>
      </w:pPr>
      <w:r w:rsidRPr="00B42B2D">
        <w:rPr>
          <w:rFonts w:ascii="Work Sans" w:eastAsia="Times New Roman" w:hAnsi="Work Sans" w:cs="Times New Roman"/>
          <w:lang w:eastAsia="es-ES"/>
        </w:rPr>
        <w:t xml:space="preserve">Se </w:t>
      </w:r>
      <w:r w:rsidR="000C2304" w:rsidRPr="00B42B2D">
        <w:rPr>
          <w:rFonts w:ascii="Work Sans" w:eastAsia="Times New Roman" w:hAnsi="Work Sans" w:cs="Times New Roman"/>
          <w:lang w:eastAsia="es-ES"/>
        </w:rPr>
        <w:t>espera ejecutar como mínimo el 97</w:t>
      </w:r>
      <w:r w:rsidRPr="00B42B2D">
        <w:rPr>
          <w:rFonts w:ascii="Work Sans" w:eastAsia="Times New Roman" w:hAnsi="Work Sans" w:cs="Times New Roman"/>
          <w:lang w:eastAsia="es-ES"/>
        </w:rPr>
        <w:t>% de las actividades previstas para la vigencia.</w:t>
      </w:r>
    </w:p>
    <w:p w14:paraId="222713CA" w14:textId="77777777" w:rsidR="00094908" w:rsidRPr="00B42B2D" w:rsidRDefault="00094908" w:rsidP="00B42B2D">
      <w:pPr>
        <w:pStyle w:val="Textoindependiente"/>
        <w:spacing w:line="276" w:lineRule="auto"/>
        <w:ind w:right="51"/>
        <w:contextualSpacing/>
        <w:rPr>
          <w:sz w:val="22"/>
          <w:szCs w:val="22"/>
          <w:lang w:val="es-CO"/>
        </w:rPr>
      </w:pPr>
    </w:p>
    <w:p w14:paraId="5544F6D6" w14:textId="1FAB7799" w:rsidR="005C6E7A" w:rsidRPr="002A3F3E" w:rsidRDefault="005C6E7A" w:rsidP="000D4956">
      <w:pPr>
        <w:pStyle w:val="Textoindependiente"/>
        <w:spacing w:line="276" w:lineRule="auto"/>
        <w:ind w:right="51"/>
        <w:contextualSpacing/>
        <w:jc w:val="center"/>
        <w:rPr>
          <w:sz w:val="22"/>
          <w:szCs w:val="22"/>
          <w:lang w:val="es-CO"/>
        </w:rPr>
      </w:pPr>
    </w:p>
    <w:sectPr w:rsidR="005C6E7A" w:rsidRPr="002A3F3E" w:rsidSect="009D5032">
      <w:headerReference w:type="default" r:id="rId9"/>
      <w:footerReference w:type="default" r:id="rId10"/>
      <w:pgSz w:w="12240" w:h="15840"/>
      <w:pgMar w:top="1701" w:right="1418" w:bottom="1134" w:left="1418" w:header="153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D6CC" w14:textId="77777777" w:rsidR="00832971" w:rsidRDefault="00832971" w:rsidP="00CD6908">
      <w:pPr>
        <w:spacing w:after="0" w:line="240" w:lineRule="auto"/>
      </w:pPr>
      <w:r>
        <w:separator/>
      </w:r>
    </w:p>
  </w:endnote>
  <w:endnote w:type="continuationSeparator" w:id="0">
    <w:p w14:paraId="333A6EC6" w14:textId="77777777" w:rsidR="00832971" w:rsidRDefault="00832971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 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965896"/>
      <w:docPartObj>
        <w:docPartGallery w:val="Page Numbers (Bottom of Page)"/>
        <w:docPartUnique/>
      </w:docPartObj>
    </w:sdtPr>
    <w:sdtEndPr/>
    <w:sdtContent>
      <w:p w14:paraId="4B86A2BF" w14:textId="443E16D3" w:rsidR="006730C5" w:rsidRDefault="006759B3">
        <w:pPr>
          <w:pStyle w:val="Piedepgina"/>
          <w:jc w:val="right"/>
        </w:pPr>
        <w:r>
          <w:rPr>
            <w:noProof/>
            <w:sz w:val="20"/>
            <w:szCs w:val="20"/>
            <w:lang w:eastAsia="es-CO"/>
          </w:rPr>
          <w:drawing>
            <wp:anchor distT="0" distB="0" distL="114300" distR="114300" simplePos="0" relativeHeight="251665408" behindDoc="0" locked="0" layoutInCell="1" allowOverlap="1" wp14:anchorId="77B14E75" wp14:editId="018E8768">
              <wp:simplePos x="0" y="0"/>
              <wp:positionH relativeFrom="page">
                <wp:posOffset>430</wp:posOffset>
              </wp:positionH>
              <wp:positionV relativeFrom="paragraph">
                <wp:posOffset>191780</wp:posOffset>
              </wp:positionV>
              <wp:extent cx="7751996" cy="934435"/>
              <wp:effectExtent l="0" t="0" r="190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-Minenergí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1996" cy="934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D0A05">
          <w:t xml:space="preserve">Pag </w:t>
        </w:r>
        <w:r w:rsidR="006730C5">
          <w:fldChar w:fldCharType="begin"/>
        </w:r>
        <w:r w:rsidR="006730C5">
          <w:instrText>PAGE   \* MERGEFORMAT</w:instrText>
        </w:r>
        <w:r w:rsidR="006730C5">
          <w:fldChar w:fldCharType="separate"/>
        </w:r>
        <w:r w:rsidR="00E019C5" w:rsidRPr="00E019C5">
          <w:rPr>
            <w:noProof/>
            <w:lang w:val="es-ES"/>
          </w:rPr>
          <w:t>1</w:t>
        </w:r>
        <w:r w:rsidR="006730C5">
          <w:fldChar w:fldCharType="end"/>
        </w:r>
        <w:r w:rsidR="00ED0A05">
          <w:t xml:space="preserve"> de </w:t>
        </w:r>
        <w:r w:rsidR="00832971">
          <w:rPr>
            <w:noProof/>
          </w:rPr>
          <w:fldChar w:fldCharType="begin"/>
        </w:r>
        <w:r w:rsidR="00832971">
          <w:rPr>
            <w:noProof/>
          </w:rPr>
          <w:instrText xml:space="preserve"> NUMPAGES  \* Arabic  \* MERGEFORMAT </w:instrText>
        </w:r>
        <w:r w:rsidR="00832971">
          <w:rPr>
            <w:noProof/>
          </w:rPr>
          <w:fldChar w:fldCharType="separate"/>
        </w:r>
        <w:r w:rsidR="00E019C5">
          <w:rPr>
            <w:noProof/>
          </w:rPr>
          <w:t>15</w:t>
        </w:r>
        <w:r w:rsidR="00832971">
          <w:rPr>
            <w:noProof/>
          </w:rPr>
          <w:fldChar w:fldCharType="end"/>
        </w:r>
      </w:p>
    </w:sdtContent>
  </w:sdt>
  <w:p w14:paraId="4A66E607" w14:textId="32871B2E" w:rsidR="00BB318D" w:rsidRDefault="00BB318D" w:rsidP="006A10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2C27" w14:textId="77777777" w:rsidR="00832971" w:rsidRDefault="00832971" w:rsidP="00CD6908">
      <w:pPr>
        <w:spacing w:after="0" w:line="240" w:lineRule="auto"/>
      </w:pPr>
      <w:r>
        <w:separator/>
      </w:r>
    </w:p>
  </w:footnote>
  <w:footnote w:type="continuationSeparator" w:id="0">
    <w:p w14:paraId="40958E56" w14:textId="77777777" w:rsidR="00832971" w:rsidRDefault="00832971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1EE6" w14:textId="008D974A" w:rsidR="00BB318D" w:rsidRDefault="00E21604" w:rsidP="00C41738">
    <w:pPr>
      <w:pStyle w:val="Encabezado"/>
      <w:ind w:left="-709"/>
      <w:jc w:val="center"/>
    </w:pPr>
    <w:r>
      <w:rPr>
        <w:rFonts w:ascii="Work Sans" w:eastAsia="Arial Unicode MS" w:hAnsi="Work Sans" w:cs="Arial"/>
        <w:noProof/>
        <w:sz w:val="18"/>
        <w:szCs w:val="20"/>
        <w:lang w:eastAsia="es-CO"/>
      </w:rPr>
      <w:drawing>
        <wp:anchor distT="0" distB="0" distL="114300" distR="114300" simplePos="0" relativeHeight="251667456" behindDoc="0" locked="0" layoutInCell="1" allowOverlap="1" wp14:anchorId="52F19A32" wp14:editId="282EBFA2">
          <wp:simplePos x="0" y="0"/>
          <wp:positionH relativeFrom="column">
            <wp:posOffset>-271780</wp:posOffset>
          </wp:positionH>
          <wp:positionV relativeFrom="paragraph">
            <wp:posOffset>-568325</wp:posOffset>
          </wp:positionV>
          <wp:extent cx="2543175" cy="42692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75404" w14:textId="77777777" w:rsidR="00BB318D" w:rsidRPr="00966328" w:rsidRDefault="00BB318D" w:rsidP="004A4BF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27E7B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44384"/>
    <w:multiLevelType w:val="hybridMultilevel"/>
    <w:tmpl w:val="A0D8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12A2"/>
    <w:multiLevelType w:val="hybridMultilevel"/>
    <w:tmpl w:val="CD9A0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36A9"/>
    <w:multiLevelType w:val="hybridMultilevel"/>
    <w:tmpl w:val="635AF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624D7"/>
    <w:multiLevelType w:val="hybridMultilevel"/>
    <w:tmpl w:val="218682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A50"/>
    <w:multiLevelType w:val="hybridMultilevel"/>
    <w:tmpl w:val="1B342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A3AF3"/>
    <w:multiLevelType w:val="hybridMultilevel"/>
    <w:tmpl w:val="C5166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306E"/>
    <w:multiLevelType w:val="hybridMultilevel"/>
    <w:tmpl w:val="3362B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554A"/>
    <w:multiLevelType w:val="hybridMultilevel"/>
    <w:tmpl w:val="3C0C11A0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0EB1"/>
    <w:multiLevelType w:val="hybridMultilevel"/>
    <w:tmpl w:val="7B003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6F9"/>
    <w:multiLevelType w:val="hybridMultilevel"/>
    <w:tmpl w:val="8BF6E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47B0"/>
    <w:multiLevelType w:val="hybridMultilevel"/>
    <w:tmpl w:val="D8C21B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E8F"/>
    <w:multiLevelType w:val="hybridMultilevel"/>
    <w:tmpl w:val="EA185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1210"/>
    <w:multiLevelType w:val="hybridMultilevel"/>
    <w:tmpl w:val="4A8C2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324D"/>
    <w:multiLevelType w:val="hybridMultilevel"/>
    <w:tmpl w:val="44E0B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06D6"/>
    <w:multiLevelType w:val="hybridMultilevel"/>
    <w:tmpl w:val="EFA2B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22AB"/>
    <w:multiLevelType w:val="hybridMultilevel"/>
    <w:tmpl w:val="B09029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1033F"/>
    <w:multiLevelType w:val="multilevel"/>
    <w:tmpl w:val="681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30E05"/>
    <w:multiLevelType w:val="hybridMultilevel"/>
    <w:tmpl w:val="35D6B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F6FD7"/>
    <w:multiLevelType w:val="hybridMultilevel"/>
    <w:tmpl w:val="D8C21B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28BD"/>
    <w:multiLevelType w:val="hybridMultilevel"/>
    <w:tmpl w:val="101C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50237"/>
    <w:multiLevelType w:val="hybridMultilevel"/>
    <w:tmpl w:val="D8C21B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E0A6B"/>
    <w:multiLevelType w:val="hybridMultilevel"/>
    <w:tmpl w:val="BC58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D7764"/>
    <w:multiLevelType w:val="hybridMultilevel"/>
    <w:tmpl w:val="F6FC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B4E"/>
    <w:multiLevelType w:val="multilevel"/>
    <w:tmpl w:val="79284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17"/>
  </w:num>
  <w:num w:numId="9">
    <w:abstractNumId w:val="22"/>
  </w:num>
  <w:num w:numId="10">
    <w:abstractNumId w:val="12"/>
  </w:num>
  <w:num w:numId="11">
    <w:abstractNumId w:val="16"/>
  </w:num>
  <w:num w:numId="12">
    <w:abstractNumId w:val="24"/>
  </w:num>
  <w:num w:numId="13">
    <w:abstractNumId w:val="15"/>
  </w:num>
  <w:num w:numId="14">
    <w:abstractNumId w:val="9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8"/>
  </w:num>
  <w:num w:numId="20">
    <w:abstractNumId w:val="19"/>
  </w:num>
  <w:num w:numId="21">
    <w:abstractNumId w:val="14"/>
  </w:num>
  <w:num w:numId="22">
    <w:abstractNumId w:val="6"/>
  </w:num>
  <w:num w:numId="23">
    <w:abstractNumId w:val="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3392"/>
    <w:rsid w:val="000134D7"/>
    <w:rsid w:val="00023884"/>
    <w:rsid w:val="00024BF6"/>
    <w:rsid w:val="00036F9A"/>
    <w:rsid w:val="00041220"/>
    <w:rsid w:val="000612BF"/>
    <w:rsid w:val="000645F0"/>
    <w:rsid w:val="00075995"/>
    <w:rsid w:val="00086D77"/>
    <w:rsid w:val="00094908"/>
    <w:rsid w:val="000A1F3D"/>
    <w:rsid w:val="000B179D"/>
    <w:rsid w:val="000B2806"/>
    <w:rsid w:val="000B3201"/>
    <w:rsid w:val="000B5A21"/>
    <w:rsid w:val="000B7235"/>
    <w:rsid w:val="000C2304"/>
    <w:rsid w:val="000D356C"/>
    <w:rsid w:val="000D3BA7"/>
    <w:rsid w:val="000D4956"/>
    <w:rsid w:val="000E0FA8"/>
    <w:rsid w:val="000F7671"/>
    <w:rsid w:val="00106D5C"/>
    <w:rsid w:val="00107AEE"/>
    <w:rsid w:val="00111E0F"/>
    <w:rsid w:val="00117CF7"/>
    <w:rsid w:val="001271D3"/>
    <w:rsid w:val="001362EF"/>
    <w:rsid w:val="00141E6C"/>
    <w:rsid w:val="00142CF6"/>
    <w:rsid w:val="00144754"/>
    <w:rsid w:val="0014738B"/>
    <w:rsid w:val="0015483B"/>
    <w:rsid w:val="001609C8"/>
    <w:rsid w:val="0017718C"/>
    <w:rsid w:val="00184215"/>
    <w:rsid w:val="00191B4F"/>
    <w:rsid w:val="00195CDA"/>
    <w:rsid w:val="0019722E"/>
    <w:rsid w:val="001A58C2"/>
    <w:rsid w:val="001A62AE"/>
    <w:rsid w:val="001B1CD9"/>
    <w:rsid w:val="001B4178"/>
    <w:rsid w:val="001B657B"/>
    <w:rsid w:val="001C0991"/>
    <w:rsid w:val="001C3562"/>
    <w:rsid w:val="001C4CCB"/>
    <w:rsid w:val="001C5B12"/>
    <w:rsid w:val="001D5AA1"/>
    <w:rsid w:val="001D61D4"/>
    <w:rsid w:val="001D65ED"/>
    <w:rsid w:val="001E3CD2"/>
    <w:rsid w:val="001E6A54"/>
    <w:rsid w:val="002021FE"/>
    <w:rsid w:val="00220A35"/>
    <w:rsid w:val="00220C61"/>
    <w:rsid w:val="00221D7A"/>
    <w:rsid w:val="0024370A"/>
    <w:rsid w:val="0024515F"/>
    <w:rsid w:val="00267F3D"/>
    <w:rsid w:val="00280E68"/>
    <w:rsid w:val="002838E8"/>
    <w:rsid w:val="00284CAB"/>
    <w:rsid w:val="0029097D"/>
    <w:rsid w:val="0029416A"/>
    <w:rsid w:val="0029707F"/>
    <w:rsid w:val="002A04AE"/>
    <w:rsid w:val="002A3F3E"/>
    <w:rsid w:val="002B73A6"/>
    <w:rsid w:val="002C5885"/>
    <w:rsid w:val="002F1F28"/>
    <w:rsid w:val="002F41CF"/>
    <w:rsid w:val="002F5C99"/>
    <w:rsid w:val="00304BE2"/>
    <w:rsid w:val="00316CD1"/>
    <w:rsid w:val="00322FF8"/>
    <w:rsid w:val="003245D4"/>
    <w:rsid w:val="00327659"/>
    <w:rsid w:val="00330BD2"/>
    <w:rsid w:val="0033558C"/>
    <w:rsid w:val="00335D5F"/>
    <w:rsid w:val="003379A4"/>
    <w:rsid w:val="00350B93"/>
    <w:rsid w:val="00360168"/>
    <w:rsid w:val="003613B0"/>
    <w:rsid w:val="00363322"/>
    <w:rsid w:val="00366634"/>
    <w:rsid w:val="00370FD8"/>
    <w:rsid w:val="003726F4"/>
    <w:rsid w:val="00375260"/>
    <w:rsid w:val="00381C87"/>
    <w:rsid w:val="00387E69"/>
    <w:rsid w:val="003A4FB5"/>
    <w:rsid w:val="003B208C"/>
    <w:rsid w:val="003B3858"/>
    <w:rsid w:val="003C2F82"/>
    <w:rsid w:val="003C5B73"/>
    <w:rsid w:val="003D6DAA"/>
    <w:rsid w:val="003E262C"/>
    <w:rsid w:val="003E3881"/>
    <w:rsid w:val="003E6D53"/>
    <w:rsid w:val="003F0E52"/>
    <w:rsid w:val="003F5145"/>
    <w:rsid w:val="00402D56"/>
    <w:rsid w:val="00413FB0"/>
    <w:rsid w:val="00414328"/>
    <w:rsid w:val="004230FF"/>
    <w:rsid w:val="0042455D"/>
    <w:rsid w:val="00436DAF"/>
    <w:rsid w:val="00445031"/>
    <w:rsid w:val="004461A1"/>
    <w:rsid w:val="004561FA"/>
    <w:rsid w:val="00457AB0"/>
    <w:rsid w:val="00460438"/>
    <w:rsid w:val="00463299"/>
    <w:rsid w:val="00464A52"/>
    <w:rsid w:val="00470643"/>
    <w:rsid w:val="00473BD6"/>
    <w:rsid w:val="004779E8"/>
    <w:rsid w:val="00481DBA"/>
    <w:rsid w:val="00486E65"/>
    <w:rsid w:val="00496585"/>
    <w:rsid w:val="004A2D6D"/>
    <w:rsid w:val="004A4BFE"/>
    <w:rsid w:val="004B75A9"/>
    <w:rsid w:val="004B79EB"/>
    <w:rsid w:val="004E1364"/>
    <w:rsid w:val="004E418D"/>
    <w:rsid w:val="004F198A"/>
    <w:rsid w:val="004F3CF1"/>
    <w:rsid w:val="0050783D"/>
    <w:rsid w:val="0051729F"/>
    <w:rsid w:val="005245DC"/>
    <w:rsid w:val="005261AF"/>
    <w:rsid w:val="00526F4B"/>
    <w:rsid w:val="00534AE9"/>
    <w:rsid w:val="00535378"/>
    <w:rsid w:val="00547B62"/>
    <w:rsid w:val="00552005"/>
    <w:rsid w:val="00561A7E"/>
    <w:rsid w:val="00564DAD"/>
    <w:rsid w:val="005677F0"/>
    <w:rsid w:val="00567BB7"/>
    <w:rsid w:val="00567C60"/>
    <w:rsid w:val="00571E6E"/>
    <w:rsid w:val="005810D9"/>
    <w:rsid w:val="00596445"/>
    <w:rsid w:val="00596AC5"/>
    <w:rsid w:val="005B76F4"/>
    <w:rsid w:val="005C3B80"/>
    <w:rsid w:val="005C58ED"/>
    <w:rsid w:val="005C640A"/>
    <w:rsid w:val="005C6E7A"/>
    <w:rsid w:val="005D594E"/>
    <w:rsid w:val="00602A7F"/>
    <w:rsid w:val="00602F7F"/>
    <w:rsid w:val="006273A7"/>
    <w:rsid w:val="00631BD6"/>
    <w:rsid w:val="006437B2"/>
    <w:rsid w:val="00646130"/>
    <w:rsid w:val="006730C5"/>
    <w:rsid w:val="006759B3"/>
    <w:rsid w:val="006759FE"/>
    <w:rsid w:val="00676331"/>
    <w:rsid w:val="006A1018"/>
    <w:rsid w:val="006A2D9B"/>
    <w:rsid w:val="006A3250"/>
    <w:rsid w:val="006A7520"/>
    <w:rsid w:val="006A780B"/>
    <w:rsid w:val="006A7EBA"/>
    <w:rsid w:val="006B2F66"/>
    <w:rsid w:val="006B5A0F"/>
    <w:rsid w:val="006C2302"/>
    <w:rsid w:val="006D1AF7"/>
    <w:rsid w:val="006D1BB4"/>
    <w:rsid w:val="006E188E"/>
    <w:rsid w:val="006E1E7A"/>
    <w:rsid w:val="006E4DE1"/>
    <w:rsid w:val="006E588E"/>
    <w:rsid w:val="00700E06"/>
    <w:rsid w:val="00701DF7"/>
    <w:rsid w:val="0071114D"/>
    <w:rsid w:val="0071409F"/>
    <w:rsid w:val="00714283"/>
    <w:rsid w:val="00716E58"/>
    <w:rsid w:val="0071755E"/>
    <w:rsid w:val="007318FC"/>
    <w:rsid w:val="007366AE"/>
    <w:rsid w:val="00736887"/>
    <w:rsid w:val="007431AD"/>
    <w:rsid w:val="00754431"/>
    <w:rsid w:val="007565C0"/>
    <w:rsid w:val="0077490D"/>
    <w:rsid w:val="0078125B"/>
    <w:rsid w:val="0079097B"/>
    <w:rsid w:val="00796232"/>
    <w:rsid w:val="007C3F78"/>
    <w:rsid w:val="007C61CA"/>
    <w:rsid w:val="007D4FE6"/>
    <w:rsid w:val="007D7CCB"/>
    <w:rsid w:val="007E41EB"/>
    <w:rsid w:val="007E52E9"/>
    <w:rsid w:val="007F3C12"/>
    <w:rsid w:val="007F50BE"/>
    <w:rsid w:val="007F565C"/>
    <w:rsid w:val="008013AD"/>
    <w:rsid w:val="008127C3"/>
    <w:rsid w:val="00816780"/>
    <w:rsid w:val="00820E70"/>
    <w:rsid w:val="0082298B"/>
    <w:rsid w:val="00832971"/>
    <w:rsid w:val="008330DE"/>
    <w:rsid w:val="0084738D"/>
    <w:rsid w:val="008522D6"/>
    <w:rsid w:val="008531F5"/>
    <w:rsid w:val="00853254"/>
    <w:rsid w:val="0085533A"/>
    <w:rsid w:val="00867A01"/>
    <w:rsid w:val="008718D3"/>
    <w:rsid w:val="0088265C"/>
    <w:rsid w:val="00882F5B"/>
    <w:rsid w:val="00896F02"/>
    <w:rsid w:val="008B0554"/>
    <w:rsid w:val="008B5D61"/>
    <w:rsid w:val="008C0168"/>
    <w:rsid w:val="008C08F4"/>
    <w:rsid w:val="008C42C8"/>
    <w:rsid w:val="008C4EEF"/>
    <w:rsid w:val="008C5F6D"/>
    <w:rsid w:val="008D5DA6"/>
    <w:rsid w:val="008E2A55"/>
    <w:rsid w:val="008F13F5"/>
    <w:rsid w:val="008F79B4"/>
    <w:rsid w:val="00912BBB"/>
    <w:rsid w:val="00917E63"/>
    <w:rsid w:val="00921120"/>
    <w:rsid w:val="00922995"/>
    <w:rsid w:val="0092527F"/>
    <w:rsid w:val="00936D34"/>
    <w:rsid w:val="00940C02"/>
    <w:rsid w:val="00944EFD"/>
    <w:rsid w:val="00965F03"/>
    <w:rsid w:val="00966328"/>
    <w:rsid w:val="00967519"/>
    <w:rsid w:val="00974A45"/>
    <w:rsid w:val="00982053"/>
    <w:rsid w:val="009904A5"/>
    <w:rsid w:val="00991939"/>
    <w:rsid w:val="00992397"/>
    <w:rsid w:val="009A393A"/>
    <w:rsid w:val="009A6BF3"/>
    <w:rsid w:val="009A7B06"/>
    <w:rsid w:val="009D5032"/>
    <w:rsid w:val="009D561B"/>
    <w:rsid w:val="009E51C7"/>
    <w:rsid w:val="009F30CF"/>
    <w:rsid w:val="009F7C48"/>
    <w:rsid w:val="00A05D51"/>
    <w:rsid w:val="00A10F52"/>
    <w:rsid w:val="00A2485C"/>
    <w:rsid w:val="00A3356C"/>
    <w:rsid w:val="00A44220"/>
    <w:rsid w:val="00A569AC"/>
    <w:rsid w:val="00A601ED"/>
    <w:rsid w:val="00A716AF"/>
    <w:rsid w:val="00A72ED1"/>
    <w:rsid w:val="00A73725"/>
    <w:rsid w:val="00A74E3E"/>
    <w:rsid w:val="00AA34C5"/>
    <w:rsid w:val="00AB77A5"/>
    <w:rsid w:val="00AC2BFA"/>
    <w:rsid w:val="00AD2573"/>
    <w:rsid w:val="00AD63CB"/>
    <w:rsid w:val="00B03366"/>
    <w:rsid w:val="00B04EE5"/>
    <w:rsid w:val="00B0721A"/>
    <w:rsid w:val="00B25FAD"/>
    <w:rsid w:val="00B33CF7"/>
    <w:rsid w:val="00B33FC1"/>
    <w:rsid w:val="00B40D50"/>
    <w:rsid w:val="00B42B2D"/>
    <w:rsid w:val="00B7008A"/>
    <w:rsid w:val="00B81F64"/>
    <w:rsid w:val="00B908A9"/>
    <w:rsid w:val="00BA3256"/>
    <w:rsid w:val="00BA487A"/>
    <w:rsid w:val="00BA5B86"/>
    <w:rsid w:val="00BB318D"/>
    <w:rsid w:val="00BB374B"/>
    <w:rsid w:val="00BD1F35"/>
    <w:rsid w:val="00BD589E"/>
    <w:rsid w:val="00BE5954"/>
    <w:rsid w:val="00BE7222"/>
    <w:rsid w:val="00BF7592"/>
    <w:rsid w:val="00C07697"/>
    <w:rsid w:val="00C12598"/>
    <w:rsid w:val="00C1555F"/>
    <w:rsid w:val="00C15C80"/>
    <w:rsid w:val="00C1712E"/>
    <w:rsid w:val="00C243CC"/>
    <w:rsid w:val="00C27245"/>
    <w:rsid w:val="00C30717"/>
    <w:rsid w:val="00C41738"/>
    <w:rsid w:val="00C571C7"/>
    <w:rsid w:val="00C61FF0"/>
    <w:rsid w:val="00C65B8D"/>
    <w:rsid w:val="00C70D2D"/>
    <w:rsid w:val="00CA79FE"/>
    <w:rsid w:val="00CB0BC1"/>
    <w:rsid w:val="00CB243A"/>
    <w:rsid w:val="00CC040E"/>
    <w:rsid w:val="00CC634C"/>
    <w:rsid w:val="00CD6908"/>
    <w:rsid w:val="00CE22AD"/>
    <w:rsid w:val="00CE4357"/>
    <w:rsid w:val="00CE63DF"/>
    <w:rsid w:val="00CF5059"/>
    <w:rsid w:val="00D05F04"/>
    <w:rsid w:val="00D1039D"/>
    <w:rsid w:val="00D120E6"/>
    <w:rsid w:val="00D243E5"/>
    <w:rsid w:val="00D25BC3"/>
    <w:rsid w:val="00D25EB0"/>
    <w:rsid w:val="00D3501B"/>
    <w:rsid w:val="00D460AB"/>
    <w:rsid w:val="00D53799"/>
    <w:rsid w:val="00D539E3"/>
    <w:rsid w:val="00D626A6"/>
    <w:rsid w:val="00D62C16"/>
    <w:rsid w:val="00D7545D"/>
    <w:rsid w:val="00D87620"/>
    <w:rsid w:val="00D878BD"/>
    <w:rsid w:val="00DB0ABD"/>
    <w:rsid w:val="00DB1DC0"/>
    <w:rsid w:val="00DC43F1"/>
    <w:rsid w:val="00DE76A2"/>
    <w:rsid w:val="00DF3F93"/>
    <w:rsid w:val="00DF7DF9"/>
    <w:rsid w:val="00E0096E"/>
    <w:rsid w:val="00E019C5"/>
    <w:rsid w:val="00E0331D"/>
    <w:rsid w:val="00E033A6"/>
    <w:rsid w:val="00E071DB"/>
    <w:rsid w:val="00E073C1"/>
    <w:rsid w:val="00E134C1"/>
    <w:rsid w:val="00E1440E"/>
    <w:rsid w:val="00E21604"/>
    <w:rsid w:val="00E21B77"/>
    <w:rsid w:val="00E27231"/>
    <w:rsid w:val="00E27379"/>
    <w:rsid w:val="00E30B24"/>
    <w:rsid w:val="00E34392"/>
    <w:rsid w:val="00E344BB"/>
    <w:rsid w:val="00E425B5"/>
    <w:rsid w:val="00E44D0F"/>
    <w:rsid w:val="00E46D25"/>
    <w:rsid w:val="00E5260C"/>
    <w:rsid w:val="00E605C9"/>
    <w:rsid w:val="00E60B37"/>
    <w:rsid w:val="00E6773A"/>
    <w:rsid w:val="00E80BD1"/>
    <w:rsid w:val="00E81E05"/>
    <w:rsid w:val="00E856A5"/>
    <w:rsid w:val="00E856E5"/>
    <w:rsid w:val="00E93203"/>
    <w:rsid w:val="00E94EB7"/>
    <w:rsid w:val="00EA729F"/>
    <w:rsid w:val="00EB12D8"/>
    <w:rsid w:val="00ED0A05"/>
    <w:rsid w:val="00ED0ACD"/>
    <w:rsid w:val="00ED1126"/>
    <w:rsid w:val="00EE2E7D"/>
    <w:rsid w:val="00EE2FA7"/>
    <w:rsid w:val="00EF060B"/>
    <w:rsid w:val="00EF42D8"/>
    <w:rsid w:val="00EF7B2A"/>
    <w:rsid w:val="00F01441"/>
    <w:rsid w:val="00F15BFE"/>
    <w:rsid w:val="00F43728"/>
    <w:rsid w:val="00F55996"/>
    <w:rsid w:val="00F568B2"/>
    <w:rsid w:val="00F604EC"/>
    <w:rsid w:val="00F61D10"/>
    <w:rsid w:val="00F73461"/>
    <w:rsid w:val="00F806E2"/>
    <w:rsid w:val="00F84369"/>
    <w:rsid w:val="00F87B51"/>
    <w:rsid w:val="00FB53A9"/>
    <w:rsid w:val="00FC0318"/>
    <w:rsid w:val="00FC1414"/>
    <w:rsid w:val="00FC409A"/>
    <w:rsid w:val="00FD445B"/>
    <w:rsid w:val="00FE1FB0"/>
    <w:rsid w:val="00FE7E78"/>
    <w:rsid w:val="00FF777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02B7"/>
  <w15:docId w15:val="{DABE4A5D-E774-435F-9253-71BF8D3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BD5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D5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0033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33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3392"/>
    <w:pPr>
      <w:ind w:left="708"/>
    </w:pPr>
    <w:rPr>
      <w:rFonts w:ascii="Arial" w:eastAsia="Arial" w:hAnsi="Arial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5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convietas2">
    <w:name w:val="List Bullet 2"/>
    <w:basedOn w:val="Normal"/>
    <w:uiPriority w:val="99"/>
    <w:unhideWhenUsed/>
    <w:rsid w:val="00350B93"/>
    <w:pPr>
      <w:numPr>
        <w:numId w:val="4"/>
      </w:numPr>
      <w:contextualSpacing/>
    </w:pPr>
  </w:style>
  <w:style w:type="paragraph" w:styleId="Firma">
    <w:name w:val="Signature"/>
    <w:basedOn w:val="Normal"/>
    <w:link w:val="FirmaCar"/>
    <w:uiPriority w:val="99"/>
    <w:unhideWhenUsed/>
    <w:rsid w:val="00350B9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50B93"/>
  </w:style>
  <w:style w:type="paragraph" w:styleId="Sangradetextonormal">
    <w:name w:val="Body Text Indent"/>
    <w:basedOn w:val="Normal"/>
    <w:link w:val="SangradetextonormalCar"/>
    <w:uiPriority w:val="99"/>
    <w:unhideWhenUsed/>
    <w:rsid w:val="00350B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0B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50B9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50B9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50B9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50B93"/>
  </w:style>
  <w:style w:type="character" w:styleId="Hipervnculo">
    <w:name w:val="Hyperlink"/>
    <w:basedOn w:val="Fuentedeprrafopredeter"/>
    <w:uiPriority w:val="99"/>
    <w:unhideWhenUsed/>
    <w:rsid w:val="00350B9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67519"/>
    <w:rPr>
      <w:b/>
      <w:bCs/>
    </w:rPr>
  </w:style>
  <w:style w:type="character" w:customStyle="1" w:styleId="freebirdanalyticsviewquestiontitle">
    <w:name w:val="freebirdanalyticsviewquestiontitle"/>
    <w:basedOn w:val="Fuentedeprrafopredeter"/>
    <w:rsid w:val="00FE1FB0"/>
  </w:style>
  <w:style w:type="character" w:customStyle="1" w:styleId="freebirdanalyticsviewquestionresponsescount">
    <w:name w:val="freebirdanalyticsviewquestionresponsescount"/>
    <w:basedOn w:val="Fuentedeprrafopredeter"/>
    <w:rsid w:val="00FE1FB0"/>
  </w:style>
  <w:style w:type="character" w:customStyle="1" w:styleId="apple-converted-space">
    <w:name w:val="apple-converted-space"/>
    <w:rsid w:val="00AA34C5"/>
  </w:style>
  <w:style w:type="paragraph" w:customStyle="1" w:styleId="artculos">
    <w:name w:val="artículos"/>
    <w:basedOn w:val="Normal"/>
    <w:next w:val="Normal"/>
    <w:rsid w:val="00E425B5"/>
    <w:pPr>
      <w:tabs>
        <w:tab w:val="left" w:pos="2551"/>
      </w:tabs>
      <w:spacing w:after="0" w:line="400" w:lineRule="atLeast"/>
      <w:jc w:val="both"/>
    </w:pPr>
    <w:rPr>
      <w:rFonts w:ascii="Arial" w:eastAsia="Times New Roman" w:hAnsi="Arial" w:cs="Times New Roman"/>
      <w:color w:val="000000"/>
      <w:sz w:val="28"/>
      <w:szCs w:val="20"/>
      <w:lang w:val="en-US" w:eastAsia="es-ES"/>
    </w:rPr>
  </w:style>
  <w:style w:type="paragraph" w:customStyle="1" w:styleId="Pa4">
    <w:name w:val="Pa4"/>
    <w:basedOn w:val="Normal"/>
    <w:next w:val="Normal"/>
    <w:uiPriority w:val="99"/>
    <w:rsid w:val="00E27231"/>
    <w:pPr>
      <w:autoSpaceDE w:val="0"/>
      <w:autoSpaceDN w:val="0"/>
      <w:adjustRightInd w:val="0"/>
      <w:spacing w:after="0" w:line="221" w:lineRule="atLeast"/>
    </w:pPr>
    <w:rPr>
      <w:rFonts w:ascii="Flama Book" w:hAnsi="Flama Book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940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36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82CA-93F2-4C6C-BA29-0751858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4412</Words>
  <Characters>24268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Cuenta Microsoft</cp:lastModifiedBy>
  <cp:revision>2</cp:revision>
  <cp:lastPrinted>2019-10-31T21:15:00Z</cp:lastPrinted>
  <dcterms:created xsi:type="dcterms:W3CDTF">2023-01-24T13:23:00Z</dcterms:created>
  <dcterms:modified xsi:type="dcterms:W3CDTF">2023-01-24T13:23:00Z</dcterms:modified>
</cp:coreProperties>
</file>