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E300B" w14:textId="27F82799" w:rsidR="002E36BC" w:rsidRDefault="00AB1EF7">
      <w:pPr>
        <w:jc w:val="center"/>
        <w:rPr>
          <w:b/>
          <w:sz w:val="36"/>
          <w:szCs w:val="36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0939233" wp14:editId="15425CFE">
                <wp:simplePos x="0" y="0"/>
                <wp:positionH relativeFrom="page">
                  <wp:align>left</wp:align>
                </wp:positionH>
                <wp:positionV relativeFrom="paragraph">
                  <wp:posOffset>176530</wp:posOffset>
                </wp:positionV>
                <wp:extent cx="7567613" cy="1038225"/>
                <wp:effectExtent l="0" t="0" r="0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7613" cy="1038225"/>
                        </a:xfrm>
                        <a:prstGeom prst="rect">
                          <a:avLst/>
                        </a:prstGeom>
                        <a:solidFill>
                          <a:srgbClr val="0C90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1E4906" w14:textId="7613E5D5" w:rsidR="008E69FF" w:rsidRDefault="00865F9F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noProof/>
                                <w:lang w:val="es-CO"/>
                              </w:rPr>
                              <w:drawing>
                                <wp:inline distT="0" distB="0" distL="0" distR="0" wp14:anchorId="746500A1" wp14:editId="61D62230">
                                  <wp:extent cx="2923794" cy="466724"/>
                                  <wp:effectExtent l="0" t="0" r="0" b="0"/>
                                  <wp:docPr id="3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3794" cy="466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rect id="Rectángulo 5" style="position:absolute;left:0;text-align:left;margin-left:0;margin-top:13.9pt;width:595.9pt;height:81.7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0c9069" stroked="f" w14:anchorId="20939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cZ3wEAAKIDAAAOAAAAZHJzL2Uyb0RvYy54bWysU1uO0zAU/UdiD5b/aZIO7UyjpiPUURHS&#10;CCoGFuA4TmPJL67dJl0Oa2FjXDuhU5i/ET+Oj+/D5xzfrO8HrchJgJfWVLSY5ZQIw20jzaGi37/t&#10;3t1R4gMzDVPWiIqehaf3m7dv1r0rxdx2VjUCCDYxvuxdRbsQXJllnndCMz+zThgMthY0CwjhkDXA&#10;euyuVTbP82XWW2gcWC68x9OHMUg3qX/bCh6+tK0XgaiKIreQVkhrHddss2blAZjrJJ9osFew0Ewa&#10;vPTS6oEFRo4gX7TSkoP1tg0zbnVm21ZykTSgmiL/R81Tx5xIWtAc7y42+f/Xln8+7YHIpqILSgzT&#10;+ERf0bRfP83hqCxZRIN650vMe3J7mJDHbVQ7tKDjF3WQIZl6vpgqhkA4Ht4ulrfL4oYSjrEiv7mb&#10;z1PX7LncgQ8fhdUkbioKSCCZyU6PPuCVmPonJd7mrZLNTiqVABzqrQJyYvGFt6t8uYqcseSvNGVi&#10;srGxbAzHkyxKG8XEXRjqYVJY2+aMxnjHdxJJPTIf9gxwNApKehyXivofRwaCEvXJ4Husivcoi4Rr&#10;ANegvgbM8M7iFPIAlIxgG9JUjiw/HINtZZIeeY1kJro4CEneNLRx0q5xynr+tTa/AQAA//8DAFBL&#10;AwQUAAYACAAAACEAKRw2F90AAAAIAQAADwAAAGRycy9kb3ducmV2LnhtbEyPzU7DMBCE70i8g7VI&#10;XBB10kpAQpwK8XMrqmh5gG28TaLGdhRv08DTsz3R26xmNPtNsZxcp0YaYhu8gXSWgCJfBdv62sD3&#10;9uP+CVRk9Ba74MnAD0VYltdXBeY2nPwXjRuulZT4mKOBhrnPtY5VQw7jLPTkxduHwSHLOdTaDniS&#10;ctfpeZI8aIetlw8N9vTaUHXYHJ0Bvgu8Sj4z7N9/D6vterHHt3FtzO3N9PIMimni/zCc8QUdSmHa&#10;haO3UXUGZAgbmD8K/9lNs1TUTlSWLkCXhb4cUP4BAAD//wMAUEsBAi0AFAAGAAgAAAAhALaDOJL+&#10;AAAA4QEAABMAAAAAAAAAAAAAAAAAAAAAAFtDb250ZW50X1R5cGVzXS54bWxQSwECLQAUAAYACAAA&#10;ACEAOP0h/9YAAACUAQAACwAAAAAAAAAAAAAAAAAvAQAAX3JlbHMvLnJlbHNQSwECLQAUAAYACAAA&#10;ACEAR0bHGd8BAACiAwAADgAAAAAAAAAAAAAAAAAuAgAAZHJzL2Uyb0RvYy54bWxQSwECLQAUAAYA&#10;CAAAACEAKRw2F90AAAAIAQAADwAAAAAAAAAAAAAAAAA5BAAAZHJzL2Rvd25yZXYueG1sUEsFBgAA&#10;AAAEAAQA8wAAAEMFAAAAAA==&#10;">
                <v:textbox inset="2.53958mm,2.53958mm,2.53958mm,2.53958mm">
                  <w:txbxContent>
                    <w:p w:rsidR="008E69FF" w:rsidRDefault="00865F9F" w14:paraId="751E4906" w14:textId="7613E5D5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noProof/>
                          <w:lang w:val="es-CO"/>
                        </w:rPr>
                        <w:drawing>
                          <wp:inline distT="0" distB="0" distL="0" distR="0" wp14:anchorId="746500A1" wp14:editId="61D62230">
                            <wp:extent cx="2923794" cy="466724"/>
                            <wp:effectExtent l="0" t="0" r="0" b="0"/>
                            <wp:docPr id="3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3794" cy="4667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45ECFD" w14:textId="77777777" w:rsidR="002E36BC" w:rsidRDefault="002E36BC">
      <w:pPr>
        <w:jc w:val="center"/>
      </w:pPr>
    </w:p>
    <w:p w14:paraId="5FA17B54" w14:textId="77777777" w:rsidR="002E36BC" w:rsidRDefault="002E36BC">
      <w:pPr>
        <w:jc w:val="center"/>
      </w:pPr>
    </w:p>
    <w:p w14:paraId="5105220D" w14:textId="77777777" w:rsidR="002E36BC" w:rsidRDefault="00AB1EF7">
      <w:pPr>
        <w:jc w:val="center"/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95CD1E" wp14:editId="0CF1C012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5891841" cy="2809036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841" cy="2809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29C0AE" w14:textId="77777777" w:rsidR="008E69FF" w:rsidRPr="00987B8F" w:rsidRDefault="008E69FF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Work Sans" w:hAnsi="Work Sans"/>
                                <w:b/>
                                <w:color w:val="3164C9"/>
                                <w:sz w:val="45"/>
                              </w:rPr>
                            </w:pPr>
                          </w:p>
                          <w:p w14:paraId="10D1AE07" w14:textId="77777777" w:rsidR="008E69FF" w:rsidRPr="00987B8F" w:rsidRDefault="008E69FF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Work Sans" w:hAnsi="Work Sans"/>
                                <w:b/>
                                <w:color w:val="3164C9"/>
                                <w:sz w:val="45"/>
                              </w:rPr>
                            </w:pPr>
                          </w:p>
                          <w:p w14:paraId="4E7E65A9" w14:textId="60F2DF68" w:rsidR="008E69FF" w:rsidRPr="00470856" w:rsidRDefault="008E69FF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Work Sans" w:hAnsi="Work Sans"/>
                                <w:b/>
                                <w:color w:val="3164C9"/>
                                <w:sz w:val="45"/>
                              </w:rPr>
                            </w:pPr>
                            <w:r w:rsidRPr="00470856">
                              <w:rPr>
                                <w:rFonts w:ascii="Work Sans" w:hAnsi="Work Sans"/>
                                <w:b/>
                                <w:color w:val="3164C9"/>
                                <w:sz w:val="45"/>
                              </w:rPr>
                              <w:t>EJECUCIÓN</w:t>
                            </w:r>
                            <w:r>
                              <w:t xml:space="preserve"> </w:t>
                            </w:r>
                            <w:r w:rsidRPr="00470856">
                              <w:rPr>
                                <w:rFonts w:ascii="Work Sans" w:hAnsi="Work Sans"/>
                                <w:b/>
                                <w:color w:val="3164C9"/>
                                <w:sz w:val="45"/>
                              </w:rPr>
                              <w:t>PLAN DE ACCIÓN ANUAL</w:t>
                            </w:r>
                          </w:p>
                          <w:p w14:paraId="6E6DC11B" w14:textId="5F39C2D2" w:rsidR="008E69FF" w:rsidRDefault="002127E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31849B"/>
                                <w:sz w:val="45"/>
                              </w:rPr>
                            </w:pPr>
                            <w:r>
                              <w:rPr>
                                <w:rFonts w:ascii="Work Sans" w:hAnsi="Work Sans"/>
                                <w:b/>
                                <w:color w:val="3164C9"/>
                                <w:sz w:val="45"/>
                              </w:rPr>
                              <w:t>Diciembre</w:t>
                            </w:r>
                            <w:r w:rsidR="007B56ED">
                              <w:rPr>
                                <w:rFonts w:ascii="Work Sans" w:hAnsi="Work Sans"/>
                                <w:b/>
                                <w:color w:val="3164C9"/>
                                <w:sz w:val="45"/>
                              </w:rPr>
                              <w:t xml:space="preserve"> 2022</w:t>
                            </w:r>
                          </w:p>
                          <w:p w14:paraId="03961BD4" w14:textId="77777777" w:rsidR="008E69FF" w:rsidRDefault="008E69F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rect id="Rectángulo 4" style="position:absolute;left:0;text-align:left;margin-left:0;margin-top:5.75pt;width:463.9pt;height:221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7" filled="f" stroked="f" w14:anchorId="6B95CD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+JzwEAAH4DAAAOAAAAZHJzL2Uyb0RvYy54bWysU1uO0zAU/UdiD5b/aZLSDm3UdIQYFSGN&#10;oJqBBbiO3VjyC1+3SZfDWtgY106nU5i/ET/uffX4nOOb1e1gNDmKAMrZhlaTkhJhuWuV3Tf0x/fN&#10;uwUlEJltmXZWNPQkgN6u375Z9b4WU9c53YpAEMRC3fuGdjH6uiiAd8IwmDgvLDalC4ZFTMO+aAPr&#10;Ed3oYlqWN0XvQuuD4wIAq3djk64zvpSCx29SgohENxS5xXyGfO7SWaxXrN4H5jvFzzTYK1gYpixe&#10;eoG6Y5GRQ1AvoIziwYGTccKdKZyUiousAdVU5T9qHjvmRdaC5oC/2AT/D5Z/PW4DUW1DZ5RYZvCJ&#10;HtC037/s/qAdmSWDeg81zj36bThngGFSO8hg0i/qIEM29XQxVQyRcCzOF8tqMaso4dibLspl+f4m&#10;oRbPf/cB4mfhDElBQwMSyGay4z3EcfRpJN1m3UZpjXVWa/tXATFTpUiMR44pisNuyBKrJzU7155Q&#10;Nni+UXjlPYO4ZQEfHmn2uAwNhZ8HFgQl+otFt5fVbDrH7cnJbP6hxFUK153ddYdZ3jncsUjJGH6K&#10;eeNGqh8P0UmVZSVyI5UzZ3zkbMx5IdMWXed56vmzWf8BAAD//wMAUEsDBBQABgAIAAAAIQD8lIGL&#10;2wAAAAcBAAAPAAAAZHJzL2Rvd25yZXYueG1sTI/BTsMwEETvSPyDtUjcqJPSFJrGqRCCA0fSHji6&#10;8ZJEtdeR7bTp37Oc4Dg7q5k31W52VpwxxMGTgnyRgUBqvRmoU3DYvz88g4hJk9HWEyq4YoRdfXtT&#10;6dL4C33iuUmd4BCKpVbQpzSWUsa2R6fjwo9I7H374HRiGTppgr5wuLNymWVr6fRA3NDrEV97bE/N&#10;5BSMaM1kV0321cq3QPn6Yy+vhVL3d/PLFkTCOf09wy8+o0PNTEc/kYnCKuAhia95AYLdzfKJhxwV&#10;rIrHDci6kv/56x8AAAD//wMAUEsBAi0AFAAGAAgAAAAhALaDOJL+AAAA4QEAABMAAAAAAAAAAAAA&#10;AAAAAAAAAFtDb250ZW50X1R5cGVzXS54bWxQSwECLQAUAAYACAAAACEAOP0h/9YAAACUAQAACwAA&#10;AAAAAAAAAAAAAAAvAQAAX3JlbHMvLnJlbHNQSwECLQAUAAYACAAAACEAOhi/ic8BAAB+AwAADgAA&#10;AAAAAAAAAAAAAAAuAgAAZHJzL2Uyb0RvYy54bWxQSwECLQAUAAYACAAAACEA/JSBi9sAAAAHAQAA&#10;DwAAAAAAAAAAAAAAAAApBAAAZHJzL2Rvd25yZXYueG1sUEsFBgAAAAAEAAQA8wAAADEFAAAAAA==&#10;">
                <v:textbox inset="2.53958mm,1.2694mm,2.53958mm,1.2694mm">
                  <w:txbxContent>
                    <w:p w:rsidRPr="00987B8F" w:rsidR="008E69FF" w:rsidRDefault="008E69FF" w14:paraId="4429C0AE" w14:textId="7777777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Work Sans" w:hAnsi="Work Sans"/>
                          <w:b/>
                          <w:color w:val="3164C9"/>
                          <w:sz w:val="45"/>
                        </w:rPr>
                      </w:pPr>
                    </w:p>
                    <w:p w:rsidRPr="00987B8F" w:rsidR="008E69FF" w:rsidRDefault="008E69FF" w14:paraId="10D1AE07" w14:textId="7777777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Work Sans" w:hAnsi="Work Sans"/>
                          <w:b/>
                          <w:color w:val="3164C9"/>
                          <w:sz w:val="45"/>
                        </w:rPr>
                      </w:pPr>
                    </w:p>
                    <w:p w:rsidRPr="00470856" w:rsidR="008E69FF" w:rsidRDefault="008E69FF" w14:paraId="4E7E65A9" w14:textId="60F2DF68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Work Sans" w:hAnsi="Work Sans"/>
                          <w:b/>
                          <w:color w:val="3164C9"/>
                          <w:sz w:val="45"/>
                        </w:rPr>
                      </w:pPr>
                      <w:r w:rsidRPr="00470856">
                        <w:rPr>
                          <w:rFonts w:ascii="Work Sans" w:hAnsi="Work Sans"/>
                          <w:b/>
                          <w:color w:val="3164C9"/>
                          <w:sz w:val="45"/>
                        </w:rPr>
                        <w:t>EJECUCIÓN</w:t>
                      </w:r>
                      <w:r>
                        <w:t xml:space="preserve"> </w:t>
                      </w:r>
                      <w:r w:rsidRPr="00470856">
                        <w:rPr>
                          <w:rFonts w:ascii="Work Sans" w:hAnsi="Work Sans"/>
                          <w:b/>
                          <w:color w:val="3164C9"/>
                          <w:sz w:val="45"/>
                        </w:rPr>
                        <w:t>PLAN DE ACCIÓN ANUAL</w:t>
                      </w:r>
                    </w:p>
                    <w:p w:rsidR="008E69FF" w:rsidRDefault="002127EE" w14:paraId="6E6DC11B" w14:textId="5F39C2D2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31849B"/>
                          <w:sz w:val="45"/>
                        </w:rPr>
                      </w:pPr>
                      <w:r>
                        <w:rPr>
                          <w:rFonts w:ascii="Work Sans" w:hAnsi="Work Sans"/>
                          <w:b/>
                          <w:color w:val="3164C9"/>
                          <w:sz w:val="45"/>
                        </w:rPr>
                        <w:t>Diciembre</w:t>
                      </w:r>
                      <w:r w:rsidR="007B56ED">
                        <w:rPr>
                          <w:rFonts w:ascii="Work Sans" w:hAnsi="Work Sans"/>
                          <w:b/>
                          <w:color w:val="3164C9"/>
                          <w:sz w:val="45"/>
                        </w:rPr>
                        <w:t xml:space="preserve"> 2022</w:t>
                      </w:r>
                    </w:p>
                    <w:p w:rsidR="008E69FF" w:rsidRDefault="008E69FF" w14:paraId="03961BD4" w14:textId="77777777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F83313" w14:textId="77777777" w:rsidR="002E36BC" w:rsidRDefault="002E36BC">
      <w:pPr>
        <w:jc w:val="center"/>
      </w:pPr>
    </w:p>
    <w:p w14:paraId="68CC3E62" w14:textId="77777777" w:rsidR="002E36BC" w:rsidRDefault="002E36BC">
      <w:pPr>
        <w:jc w:val="center"/>
      </w:pPr>
    </w:p>
    <w:p w14:paraId="7E8237AC" w14:textId="77777777" w:rsidR="002E36BC" w:rsidRDefault="002E36BC">
      <w:pPr>
        <w:jc w:val="center"/>
      </w:pPr>
    </w:p>
    <w:p w14:paraId="649ECE46" w14:textId="77777777" w:rsidR="002E36BC" w:rsidRDefault="002E36BC"/>
    <w:p w14:paraId="3B5C38F5" w14:textId="77777777" w:rsidR="002E36BC" w:rsidRDefault="002E36BC"/>
    <w:p w14:paraId="5C01ED90" w14:textId="77777777" w:rsidR="002E36BC" w:rsidRDefault="002E36BC"/>
    <w:p w14:paraId="51038FFE" w14:textId="13356A72" w:rsidR="002E36BC" w:rsidRDefault="002E36BC"/>
    <w:p w14:paraId="5E199C3A" w14:textId="77777777" w:rsidR="002E36BC" w:rsidRDefault="002E36BC"/>
    <w:p w14:paraId="178B4EE4" w14:textId="0C5DE34F" w:rsidR="002E36BC" w:rsidRDefault="003A3EDC">
      <w:r>
        <w:rPr>
          <w:noProof/>
          <w:lang w:val="es-CO"/>
        </w:rPr>
        <w:drawing>
          <wp:inline distT="0" distB="0" distL="0" distR="0" wp14:anchorId="08E60C45" wp14:editId="06232FB6">
            <wp:extent cx="5400040" cy="2558267"/>
            <wp:effectExtent l="0" t="0" r="0" b="0"/>
            <wp:docPr id="9" name="Imagen 9" descr="Interfaz de usuario gráfica, Aplicación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, Aplicación, Sitio web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58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E30EE" w14:textId="77777777" w:rsidR="002E36BC" w:rsidRDefault="002E36BC"/>
    <w:p w14:paraId="7F0100A5" w14:textId="77777777" w:rsidR="003A3EDC" w:rsidRDefault="003A3EDC" w:rsidP="003A3EDC">
      <w:pPr>
        <w:spacing w:after="0" w:line="240" w:lineRule="auto"/>
        <w:jc w:val="center"/>
        <w:textDirection w:val="btLr"/>
        <w:rPr>
          <w:rFonts w:ascii="Work Sans" w:hAnsi="Work Sans"/>
          <w:b/>
          <w:color w:val="0C9069"/>
          <w:sz w:val="32"/>
          <w:szCs w:val="32"/>
        </w:rPr>
      </w:pPr>
    </w:p>
    <w:p w14:paraId="6482C4C8" w14:textId="77777777" w:rsidR="003A3EDC" w:rsidRDefault="003A3EDC" w:rsidP="003A3EDC">
      <w:pPr>
        <w:spacing w:after="0" w:line="240" w:lineRule="auto"/>
        <w:jc w:val="center"/>
        <w:textDirection w:val="btLr"/>
        <w:rPr>
          <w:rFonts w:ascii="Work Sans" w:hAnsi="Work Sans"/>
          <w:b/>
          <w:color w:val="0C9069"/>
          <w:sz w:val="32"/>
          <w:szCs w:val="32"/>
        </w:rPr>
      </w:pPr>
    </w:p>
    <w:p w14:paraId="556E77BF" w14:textId="77777777" w:rsidR="003A3EDC" w:rsidRPr="00C97AF4" w:rsidRDefault="003A3EDC" w:rsidP="003A3EDC">
      <w:pPr>
        <w:spacing w:after="0" w:line="240" w:lineRule="auto"/>
        <w:jc w:val="center"/>
        <w:textDirection w:val="btLr"/>
        <w:rPr>
          <w:rFonts w:ascii="Work Sans" w:hAnsi="Work Sans"/>
          <w:b/>
          <w:color w:val="0C9069"/>
          <w:sz w:val="32"/>
          <w:szCs w:val="32"/>
        </w:rPr>
      </w:pPr>
      <w:r w:rsidRPr="00C97AF4">
        <w:rPr>
          <w:rFonts w:ascii="Work Sans" w:hAnsi="Work Sans"/>
          <w:b/>
          <w:color w:val="0C9069"/>
          <w:sz w:val="32"/>
          <w:szCs w:val="32"/>
        </w:rPr>
        <w:t>Oficina de Planeación y Gestión Internacional</w:t>
      </w:r>
    </w:p>
    <w:p w14:paraId="76880BD3" w14:textId="77777777" w:rsidR="002E36BC" w:rsidRDefault="002E36BC"/>
    <w:p w14:paraId="03863D93" w14:textId="77777777" w:rsidR="003A3EDC" w:rsidRDefault="003A3EDC" w:rsidP="003A3EDC">
      <w:pPr>
        <w:rPr>
          <w:rFonts w:ascii="Work Sans" w:eastAsia="Work Sans" w:hAnsi="Work Sans" w:cs="Work Sans"/>
          <w:b/>
          <w:color w:val="808080" w:themeColor="background1" w:themeShade="80"/>
          <w:sz w:val="28"/>
        </w:rPr>
      </w:pPr>
    </w:p>
    <w:p w14:paraId="4FF4D14C" w14:textId="77777777" w:rsidR="003A3EDC" w:rsidRDefault="003A3EDC" w:rsidP="003A3EDC">
      <w:pPr>
        <w:rPr>
          <w:rFonts w:ascii="Work Sans" w:eastAsia="Work Sans" w:hAnsi="Work Sans" w:cs="Work Sans"/>
          <w:b/>
          <w:color w:val="808080" w:themeColor="background1" w:themeShade="80"/>
          <w:sz w:val="28"/>
        </w:rPr>
      </w:pPr>
    </w:p>
    <w:p w14:paraId="2AFA254F" w14:textId="78519BE5" w:rsidR="009E6CA2" w:rsidRDefault="00AB1EF7" w:rsidP="00B16B1B">
      <w:pPr>
        <w:ind w:left="720" w:firstLine="720"/>
        <w:rPr>
          <w:rFonts w:ascii="Work Sans" w:hAnsi="Work Sans"/>
          <w:b/>
          <w:color w:val="0C9069"/>
          <w:sz w:val="28"/>
          <w:szCs w:val="28"/>
        </w:rPr>
      </w:pPr>
      <w:r>
        <w:rPr>
          <w:noProof/>
          <w:lang w:val="es-CO"/>
        </w:rPr>
        <w:lastRenderedPageBreak/>
        <w:drawing>
          <wp:anchor distT="0" distB="0" distL="114300" distR="114300" simplePos="0" relativeHeight="251664384" behindDoc="0" locked="0" layoutInCell="1" hidden="0" allowOverlap="1" wp14:anchorId="3351245E" wp14:editId="4AECF36E">
            <wp:simplePos x="0" y="0"/>
            <wp:positionH relativeFrom="column">
              <wp:posOffset>6757035</wp:posOffset>
            </wp:positionH>
            <wp:positionV relativeFrom="paragraph">
              <wp:posOffset>-8059418</wp:posOffset>
            </wp:positionV>
            <wp:extent cx="2647396" cy="1764930"/>
            <wp:effectExtent l="0" t="0" r="0" b="0"/>
            <wp:wrapNone/>
            <wp:docPr id="13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396" cy="1764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eading=h.gjdgxs" w:colFirst="0" w:colLast="0"/>
      <w:bookmarkEnd w:id="0"/>
      <w:r w:rsidR="002A2730" w:rsidRPr="00752EE2">
        <w:rPr>
          <w:rFonts w:ascii="Work Sans" w:hAnsi="Work Sans"/>
          <w:b/>
          <w:color w:val="0C9069"/>
          <w:sz w:val="28"/>
          <w:szCs w:val="28"/>
        </w:rPr>
        <w:t>INFORME D</w:t>
      </w:r>
      <w:r w:rsidR="003B645D">
        <w:rPr>
          <w:rFonts w:ascii="Work Sans" w:hAnsi="Work Sans"/>
          <w:b/>
          <w:color w:val="0C9069"/>
          <w:sz w:val="28"/>
          <w:szCs w:val="28"/>
        </w:rPr>
        <w:t xml:space="preserve">E EJECUCIÓN - PLAN DE ACIÓN </w:t>
      </w:r>
    </w:p>
    <w:p w14:paraId="1626303C" w14:textId="72A5BEEC" w:rsidR="002A2730" w:rsidRPr="00752EE2" w:rsidRDefault="002127EE" w:rsidP="002A2730">
      <w:pPr>
        <w:pStyle w:val="Textoindependiente"/>
        <w:jc w:val="center"/>
        <w:rPr>
          <w:rFonts w:ascii="Work Sans" w:hAnsi="Work Sans"/>
          <w:b/>
          <w:color w:val="0C9069"/>
          <w:sz w:val="28"/>
          <w:szCs w:val="28"/>
        </w:rPr>
      </w:pPr>
      <w:r>
        <w:rPr>
          <w:rFonts w:ascii="Work Sans" w:hAnsi="Work Sans"/>
          <w:b/>
          <w:color w:val="0C9069"/>
          <w:sz w:val="28"/>
          <w:szCs w:val="28"/>
        </w:rPr>
        <w:t>Diciembre</w:t>
      </w:r>
      <w:r w:rsidR="009E6CA2">
        <w:rPr>
          <w:rFonts w:ascii="Work Sans" w:hAnsi="Work Sans"/>
          <w:b/>
          <w:color w:val="0C9069"/>
          <w:sz w:val="28"/>
          <w:szCs w:val="28"/>
        </w:rPr>
        <w:t xml:space="preserve"> </w:t>
      </w:r>
      <w:r w:rsidR="003B645D">
        <w:rPr>
          <w:rFonts w:ascii="Work Sans" w:hAnsi="Work Sans"/>
          <w:b/>
          <w:color w:val="0C9069"/>
          <w:sz w:val="28"/>
          <w:szCs w:val="28"/>
        </w:rPr>
        <w:t>202</w:t>
      </w:r>
      <w:r w:rsidR="009E6CA2">
        <w:rPr>
          <w:rFonts w:ascii="Work Sans" w:hAnsi="Work Sans"/>
          <w:b/>
          <w:color w:val="0C9069"/>
          <w:sz w:val="28"/>
          <w:szCs w:val="28"/>
        </w:rPr>
        <w:t>2</w:t>
      </w:r>
    </w:p>
    <w:p w14:paraId="103FC561" w14:textId="77777777" w:rsidR="002A2730" w:rsidRDefault="002A2730" w:rsidP="002A2730">
      <w:pPr>
        <w:pStyle w:val="Ttulo1"/>
        <w:keepLines w:val="0"/>
        <w:spacing w:before="0" w:line="240" w:lineRule="auto"/>
        <w:ind w:left="567" w:hanging="567"/>
        <w:jc w:val="both"/>
        <w:rPr>
          <w:rFonts w:ascii="Work Sans" w:hAnsi="Work Sans"/>
          <w:sz w:val="24"/>
          <w:szCs w:val="24"/>
        </w:rPr>
      </w:pPr>
      <w:r w:rsidRPr="00597DDD">
        <w:rPr>
          <w:rFonts w:ascii="Work Sans" w:hAnsi="Work Sans"/>
          <w:sz w:val="24"/>
          <w:szCs w:val="24"/>
        </w:rPr>
        <w:t>NORMATIVIDAD</w:t>
      </w:r>
    </w:p>
    <w:p w14:paraId="7983DD25" w14:textId="15CD9AFF" w:rsidR="002A2730" w:rsidRDefault="002A273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  <w:r w:rsidRPr="004B1C5D">
        <w:rPr>
          <w:rFonts w:ascii="Work Sans" w:hAnsi="Work Sans" w:cs="Arial"/>
          <w:color w:val="000000" w:themeColor="text1"/>
        </w:rPr>
        <w:t xml:space="preserve">En cumplimiento de lo establecido en </w:t>
      </w:r>
      <w:r>
        <w:rPr>
          <w:rFonts w:ascii="Work Sans" w:hAnsi="Work Sans" w:cs="Arial"/>
          <w:color w:val="000000" w:themeColor="text1"/>
        </w:rPr>
        <w:t>Ley 1474 de 2011, articulo 74</w:t>
      </w:r>
      <w:r w:rsidRPr="004B1C5D">
        <w:rPr>
          <w:rFonts w:ascii="Work Sans" w:hAnsi="Work Sans" w:cs="Arial"/>
          <w:color w:val="000000" w:themeColor="text1"/>
        </w:rPr>
        <w:t xml:space="preserve"> y </w:t>
      </w:r>
      <w:r>
        <w:rPr>
          <w:rFonts w:ascii="Work Sans" w:hAnsi="Work Sans" w:cs="Arial"/>
          <w:color w:val="000000" w:themeColor="text1"/>
        </w:rPr>
        <w:t>de acuerdo con</w:t>
      </w:r>
      <w:r w:rsidRPr="004B1C5D">
        <w:rPr>
          <w:rFonts w:ascii="Work Sans" w:hAnsi="Work Sans" w:cs="Arial"/>
          <w:color w:val="000000" w:themeColor="text1"/>
        </w:rPr>
        <w:t xml:space="preserve"> </w:t>
      </w:r>
      <w:r>
        <w:rPr>
          <w:rFonts w:ascii="Work Sans" w:hAnsi="Work Sans" w:cs="Arial"/>
          <w:color w:val="000000" w:themeColor="text1"/>
        </w:rPr>
        <w:t xml:space="preserve">los lineamientos de la </w:t>
      </w:r>
      <w:r w:rsidRPr="004B1C5D">
        <w:rPr>
          <w:rFonts w:ascii="Work Sans" w:hAnsi="Work Sans" w:cs="Arial"/>
          <w:color w:val="000000" w:themeColor="text1"/>
        </w:rPr>
        <w:t xml:space="preserve">política de transparencia de la entidad, en este informe se presenta </w:t>
      </w:r>
      <w:r>
        <w:rPr>
          <w:rFonts w:ascii="Work Sans" w:hAnsi="Work Sans" w:cs="Arial"/>
          <w:color w:val="000000" w:themeColor="text1"/>
        </w:rPr>
        <w:t>el balance de las actividades realizadas por las dependencias del Ministerio de Minas y Energía, a partir de</w:t>
      </w:r>
      <w:r w:rsidRPr="0003664B">
        <w:rPr>
          <w:rFonts w:ascii="Work Sans" w:hAnsi="Work Sans" w:cs="Arial"/>
          <w:color w:val="000000" w:themeColor="text1"/>
        </w:rPr>
        <w:t xml:space="preserve"> la ejecución </w:t>
      </w:r>
      <w:r>
        <w:rPr>
          <w:rFonts w:ascii="Work Sans" w:hAnsi="Work Sans" w:cs="Arial"/>
          <w:color w:val="000000" w:themeColor="text1"/>
        </w:rPr>
        <w:t>de</w:t>
      </w:r>
      <w:r w:rsidRPr="0003664B">
        <w:rPr>
          <w:rFonts w:ascii="Work Sans" w:hAnsi="Work Sans" w:cs="Arial"/>
          <w:color w:val="000000" w:themeColor="text1"/>
        </w:rPr>
        <w:t>l Plan de Acción 20</w:t>
      </w:r>
      <w:r w:rsidR="00192D6A">
        <w:rPr>
          <w:rFonts w:ascii="Work Sans" w:hAnsi="Work Sans" w:cs="Arial"/>
          <w:color w:val="000000" w:themeColor="text1"/>
        </w:rPr>
        <w:t>22</w:t>
      </w:r>
      <w:r>
        <w:rPr>
          <w:rFonts w:ascii="Work Sans" w:hAnsi="Work Sans" w:cs="Arial"/>
          <w:color w:val="000000" w:themeColor="text1"/>
        </w:rPr>
        <w:t xml:space="preserve"> y d</w:t>
      </w:r>
      <w:r w:rsidRPr="0003664B">
        <w:rPr>
          <w:rFonts w:ascii="Work Sans" w:hAnsi="Work Sans" w:cs="Arial"/>
          <w:color w:val="000000" w:themeColor="text1"/>
        </w:rPr>
        <w:t>el cumplimiento de los objetivos formulados</w:t>
      </w:r>
      <w:r>
        <w:rPr>
          <w:rFonts w:ascii="Work Sans" w:hAnsi="Work Sans" w:cs="Arial"/>
          <w:color w:val="000000" w:themeColor="text1"/>
        </w:rPr>
        <w:t>.</w:t>
      </w:r>
      <w:r w:rsidRPr="0003664B">
        <w:rPr>
          <w:rFonts w:ascii="Work Sans" w:hAnsi="Work Sans" w:cs="Arial"/>
          <w:color w:val="000000" w:themeColor="text1"/>
        </w:rPr>
        <w:t xml:space="preserve"> </w:t>
      </w:r>
    </w:p>
    <w:p w14:paraId="50A4153A" w14:textId="4EF89E41" w:rsidR="00A963FF" w:rsidRPr="0003664B" w:rsidRDefault="00A963FF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58636208" w14:textId="77777777" w:rsidR="002A2730" w:rsidRPr="00597DDD" w:rsidRDefault="002A2730" w:rsidP="002A2730">
      <w:pPr>
        <w:pStyle w:val="Ttulo1"/>
        <w:keepLines w:val="0"/>
        <w:spacing w:before="0" w:line="240" w:lineRule="auto"/>
        <w:ind w:left="567" w:hanging="567"/>
        <w:jc w:val="both"/>
        <w:rPr>
          <w:rFonts w:ascii="Work Sans" w:hAnsi="Work Sans"/>
          <w:sz w:val="24"/>
          <w:szCs w:val="24"/>
        </w:rPr>
      </w:pPr>
      <w:r w:rsidRPr="00597DDD">
        <w:rPr>
          <w:rFonts w:ascii="Work Sans" w:hAnsi="Work Sans"/>
          <w:sz w:val="24"/>
          <w:szCs w:val="24"/>
        </w:rPr>
        <w:t>GENERALIDADES DEL PROCESO</w:t>
      </w:r>
    </w:p>
    <w:p w14:paraId="6F5A97A7" w14:textId="6957B912" w:rsidR="00F22B57" w:rsidRDefault="002A273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  <w:r>
        <w:rPr>
          <w:rFonts w:ascii="Work Sans" w:hAnsi="Work Sans" w:cs="Arial"/>
          <w:color w:val="000000" w:themeColor="text1"/>
        </w:rPr>
        <w:t xml:space="preserve">La Oficina de Planeación y Gestión Internacional </w:t>
      </w:r>
      <w:r w:rsidR="00F22B57">
        <w:rPr>
          <w:rFonts w:ascii="Work Sans" w:hAnsi="Work Sans" w:cs="Arial"/>
          <w:color w:val="000000" w:themeColor="text1"/>
        </w:rPr>
        <w:t>durante el último trimestre de 202</w:t>
      </w:r>
      <w:r w:rsidR="00497B9E">
        <w:rPr>
          <w:rFonts w:ascii="Work Sans" w:hAnsi="Work Sans" w:cs="Arial"/>
          <w:color w:val="000000" w:themeColor="text1"/>
        </w:rPr>
        <w:t>1</w:t>
      </w:r>
      <w:r w:rsidR="00F22B57">
        <w:rPr>
          <w:rFonts w:ascii="Work Sans" w:hAnsi="Work Sans" w:cs="Arial"/>
          <w:color w:val="000000" w:themeColor="text1"/>
        </w:rPr>
        <w:t xml:space="preserve"> inicio las actividades para la for</w:t>
      </w:r>
      <w:r w:rsidR="00497B9E">
        <w:rPr>
          <w:rFonts w:ascii="Work Sans" w:hAnsi="Work Sans" w:cs="Arial"/>
          <w:color w:val="000000" w:themeColor="text1"/>
        </w:rPr>
        <w:t>mulación del Plan de Acción 2022</w:t>
      </w:r>
      <w:r w:rsidR="00F22B57">
        <w:rPr>
          <w:rFonts w:ascii="Work Sans" w:hAnsi="Work Sans" w:cs="Arial"/>
          <w:color w:val="000000" w:themeColor="text1"/>
        </w:rPr>
        <w:t xml:space="preserve">, se realizaron inducción a todas las áreas en donde se informaron los lineamientos generales para su construcción, adicionalmente se socializo el </w:t>
      </w:r>
      <w:r w:rsidR="00BB6739">
        <w:rPr>
          <w:rFonts w:ascii="Work Sans" w:hAnsi="Work Sans" w:cs="Arial"/>
          <w:color w:val="000000" w:themeColor="text1"/>
        </w:rPr>
        <w:t xml:space="preserve">instrumento </w:t>
      </w:r>
      <w:r w:rsidR="00F22B57">
        <w:rPr>
          <w:rFonts w:ascii="Work Sans" w:hAnsi="Work Sans" w:cs="Arial"/>
          <w:color w:val="000000" w:themeColor="text1"/>
        </w:rPr>
        <w:t>para la recolección de información.</w:t>
      </w:r>
    </w:p>
    <w:p w14:paraId="6D5EF68D" w14:textId="77777777" w:rsidR="00F22B57" w:rsidRDefault="00F22B57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7A135A2F" w14:textId="5221BCE3" w:rsidR="00BB6739" w:rsidRPr="0003664B" w:rsidRDefault="00FC700F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  <w:r>
        <w:rPr>
          <w:rFonts w:ascii="Work Sans" w:hAnsi="Work Sans" w:cs="Arial"/>
          <w:color w:val="000000" w:themeColor="text1"/>
        </w:rPr>
        <w:t>Igualmente,</w:t>
      </w:r>
      <w:r w:rsidR="00F22B57">
        <w:rPr>
          <w:rFonts w:ascii="Work Sans" w:hAnsi="Work Sans" w:cs="Arial"/>
          <w:color w:val="000000" w:themeColor="text1"/>
        </w:rPr>
        <w:t xml:space="preserve"> la oficina de Planeación se encarga del </w:t>
      </w:r>
      <w:r w:rsidR="002A2730" w:rsidRPr="0003664B">
        <w:rPr>
          <w:rFonts w:ascii="Work Sans" w:hAnsi="Work Sans" w:cs="Arial"/>
          <w:color w:val="000000" w:themeColor="text1"/>
        </w:rPr>
        <w:t xml:space="preserve">seguimiento, medición, análisis y evaluación </w:t>
      </w:r>
      <w:r w:rsidR="002A2730">
        <w:rPr>
          <w:rFonts w:ascii="Work Sans" w:hAnsi="Work Sans" w:cs="Arial"/>
          <w:color w:val="000000" w:themeColor="text1"/>
        </w:rPr>
        <w:t>de</w:t>
      </w:r>
      <w:r w:rsidR="002A2730" w:rsidRPr="0003664B">
        <w:rPr>
          <w:rFonts w:ascii="Work Sans" w:hAnsi="Work Sans" w:cs="Arial"/>
          <w:color w:val="000000" w:themeColor="text1"/>
        </w:rPr>
        <w:t xml:space="preserve">l cumplimiento de los objetivos definidos en el Plan de Acción, </w:t>
      </w:r>
      <w:r w:rsidR="002A2730">
        <w:rPr>
          <w:rFonts w:ascii="Work Sans" w:hAnsi="Work Sans" w:cs="Arial"/>
          <w:color w:val="000000" w:themeColor="text1"/>
        </w:rPr>
        <w:t xml:space="preserve">teniendo en cuenta </w:t>
      </w:r>
      <w:r w:rsidR="002A2730" w:rsidRPr="0003664B">
        <w:rPr>
          <w:rFonts w:ascii="Work Sans" w:hAnsi="Work Sans" w:cs="Arial"/>
          <w:color w:val="000000" w:themeColor="text1"/>
        </w:rPr>
        <w:t xml:space="preserve">las gestiones </w:t>
      </w:r>
      <w:r w:rsidR="002A2730">
        <w:rPr>
          <w:rFonts w:ascii="Work Sans" w:hAnsi="Work Sans" w:cs="Arial"/>
          <w:color w:val="000000" w:themeColor="text1"/>
        </w:rPr>
        <w:t xml:space="preserve">realizadas </w:t>
      </w:r>
      <w:r w:rsidR="002A2730" w:rsidRPr="0003664B">
        <w:rPr>
          <w:rFonts w:ascii="Work Sans" w:hAnsi="Work Sans" w:cs="Arial"/>
          <w:color w:val="000000" w:themeColor="text1"/>
        </w:rPr>
        <w:t xml:space="preserve">por las áreas organizacionales </w:t>
      </w:r>
      <w:r w:rsidR="002A2730">
        <w:rPr>
          <w:rFonts w:ascii="Work Sans" w:hAnsi="Work Sans" w:cs="Arial"/>
          <w:color w:val="000000" w:themeColor="text1"/>
        </w:rPr>
        <w:t>para su</w:t>
      </w:r>
      <w:r w:rsidR="002A2730" w:rsidRPr="0003664B">
        <w:rPr>
          <w:rFonts w:ascii="Work Sans" w:hAnsi="Work Sans" w:cs="Arial"/>
          <w:color w:val="000000" w:themeColor="text1"/>
        </w:rPr>
        <w:t xml:space="preserve"> cumplimiento.</w:t>
      </w:r>
      <w:r w:rsidR="00AA38F0">
        <w:rPr>
          <w:rFonts w:ascii="Work Sans" w:hAnsi="Work Sans" w:cs="Arial"/>
          <w:color w:val="000000" w:themeColor="text1"/>
        </w:rPr>
        <w:t xml:space="preserve"> Adicionalmente, e</w:t>
      </w:r>
      <w:r w:rsidR="00BB6739">
        <w:rPr>
          <w:rFonts w:ascii="Work Sans" w:hAnsi="Work Sans" w:cs="Arial"/>
          <w:color w:val="000000" w:themeColor="text1"/>
        </w:rPr>
        <w:t>l Plan de Acción articula sus indicadores con la Planeación Estratégica, (Línea Estratégica, Objetivo Estratégico, Estrategia y Línea de Acción) y Objetivos de Calidad</w:t>
      </w:r>
      <w:r w:rsidR="00AA38F0">
        <w:rPr>
          <w:rFonts w:ascii="Work Sans" w:hAnsi="Work Sans" w:cs="Arial"/>
          <w:color w:val="000000" w:themeColor="text1"/>
        </w:rPr>
        <w:t>.</w:t>
      </w:r>
    </w:p>
    <w:p w14:paraId="331FA23A" w14:textId="2BA310D4" w:rsidR="002A2730" w:rsidRPr="0003664B" w:rsidRDefault="00BB6739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  <w:r>
        <w:rPr>
          <w:rFonts w:ascii="Work Sans" w:hAnsi="Work Sans" w:cs="Arial"/>
          <w:color w:val="000000" w:themeColor="text1"/>
        </w:rPr>
        <w:t xml:space="preserve">  </w:t>
      </w:r>
    </w:p>
    <w:p w14:paraId="5F9F4EE1" w14:textId="6ACB5AB9" w:rsidR="002A2730" w:rsidRDefault="002A2730" w:rsidP="002A2730">
      <w:pPr>
        <w:spacing w:after="0" w:line="240" w:lineRule="auto"/>
        <w:jc w:val="both"/>
        <w:rPr>
          <w:rFonts w:ascii="Work Sans" w:eastAsia="Work Sans" w:hAnsi="Work Sans" w:cs="Work Sans"/>
          <w:color w:val="808080" w:themeColor="background1" w:themeShade="80"/>
        </w:rPr>
      </w:pPr>
      <w:r>
        <w:rPr>
          <w:rFonts w:ascii="Work Sans" w:hAnsi="Work Sans" w:cs="Arial"/>
          <w:color w:val="000000" w:themeColor="text1"/>
        </w:rPr>
        <w:t>Para cumplir con lo an</w:t>
      </w:r>
      <w:r w:rsidR="003B645D">
        <w:rPr>
          <w:rFonts w:ascii="Work Sans" w:hAnsi="Work Sans" w:cs="Arial"/>
          <w:color w:val="000000" w:themeColor="text1"/>
        </w:rPr>
        <w:t xml:space="preserve">terior, </w:t>
      </w:r>
      <w:r w:rsidR="00F22B57">
        <w:rPr>
          <w:rFonts w:ascii="Work Sans" w:hAnsi="Work Sans" w:cs="Arial"/>
          <w:color w:val="000000" w:themeColor="text1"/>
        </w:rPr>
        <w:t>mes a mes se han enviado</w:t>
      </w:r>
      <w:r w:rsidRPr="0003664B">
        <w:rPr>
          <w:rFonts w:ascii="Work Sans" w:hAnsi="Work Sans" w:cs="Arial"/>
          <w:color w:val="000000" w:themeColor="text1"/>
        </w:rPr>
        <w:t xml:space="preserve"> comunicaciones </w:t>
      </w:r>
      <w:r w:rsidR="00AA38F0">
        <w:rPr>
          <w:rFonts w:ascii="Work Sans" w:hAnsi="Work Sans" w:cs="Arial"/>
          <w:color w:val="000000" w:themeColor="text1"/>
        </w:rPr>
        <w:t>vía</w:t>
      </w:r>
      <w:r w:rsidR="00F22B57">
        <w:rPr>
          <w:rFonts w:ascii="Work Sans" w:hAnsi="Work Sans" w:cs="Arial"/>
          <w:color w:val="000000" w:themeColor="text1"/>
        </w:rPr>
        <w:t xml:space="preserve"> correo electrónico </w:t>
      </w:r>
      <w:r>
        <w:rPr>
          <w:rFonts w:ascii="Work Sans" w:hAnsi="Work Sans" w:cs="Arial"/>
          <w:color w:val="000000" w:themeColor="text1"/>
        </w:rPr>
        <w:t xml:space="preserve">a las áreas del Ministerio </w:t>
      </w:r>
      <w:r w:rsidR="005A7BF8">
        <w:rPr>
          <w:rFonts w:ascii="Work Sans" w:hAnsi="Work Sans" w:cs="Arial"/>
          <w:color w:val="000000" w:themeColor="text1"/>
        </w:rPr>
        <w:t>para el avance mensual</w:t>
      </w:r>
      <w:r w:rsidRPr="0003664B">
        <w:rPr>
          <w:rFonts w:ascii="Work Sans" w:hAnsi="Work Sans" w:cs="Arial"/>
          <w:color w:val="000000" w:themeColor="text1"/>
        </w:rPr>
        <w:t xml:space="preserve"> </w:t>
      </w:r>
      <w:r>
        <w:rPr>
          <w:rFonts w:ascii="Work Sans" w:hAnsi="Work Sans" w:cs="Arial"/>
          <w:color w:val="000000" w:themeColor="text1"/>
        </w:rPr>
        <w:t xml:space="preserve">de las acciones </w:t>
      </w:r>
      <w:r w:rsidR="00E526CA">
        <w:rPr>
          <w:rFonts w:ascii="Work Sans" w:hAnsi="Work Sans" w:cs="Arial"/>
          <w:color w:val="000000" w:themeColor="text1"/>
        </w:rPr>
        <w:t>previstas en el Plan de Acción</w:t>
      </w:r>
      <w:r w:rsidRPr="0003664B">
        <w:rPr>
          <w:rFonts w:ascii="Work Sans" w:hAnsi="Work Sans" w:cs="Arial"/>
          <w:color w:val="000000" w:themeColor="text1"/>
        </w:rPr>
        <w:t>.</w:t>
      </w:r>
      <w:r>
        <w:rPr>
          <w:rFonts w:ascii="Work Sans" w:hAnsi="Work Sans" w:cs="Arial"/>
          <w:color w:val="000000" w:themeColor="text1"/>
        </w:rPr>
        <w:t xml:space="preserve"> Cabe anotar que p</w:t>
      </w:r>
      <w:r w:rsidRPr="0003664B">
        <w:rPr>
          <w:rFonts w:ascii="Work Sans" w:hAnsi="Work Sans" w:cs="Arial"/>
          <w:color w:val="000000" w:themeColor="text1"/>
        </w:rPr>
        <w:t xml:space="preserve">ara determinar el estado del </w:t>
      </w:r>
      <w:r w:rsidR="00C6679B">
        <w:rPr>
          <w:rFonts w:ascii="Work Sans" w:hAnsi="Work Sans" w:cs="Arial"/>
          <w:color w:val="000000" w:themeColor="text1"/>
        </w:rPr>
        <w:t>i</w:t>
      </w:r>
      <w:r w:rsidRPr="0003664B">
        <w:rPr>
          <w:rFonts w:ascii="Work Sans" w:hAnsi="Work Sans" w:cs="Arial"/>
          <w:color w:val="000000" w:themeColor="text1"/>
        </w:rPr>
        <w:t xml:space="preserve">ndicador </w:t>
      </w:r>
      <w:r>
        <w:rPr>
          <w:rFonts w:ascii="Work Sans" w:hAnsi="Work Sans" w:cs="Arial"/>
          <w:color w:val="000000" w:themeColor="text1"/>
        </w:rPr>
        <w:t>asociado a las acciones se aplicaron</w:t>
      </w:r>
      <w:r w:rsidRPr="0003664B">
        <w:rPr>
          <w:rFonts w:ascii="Work Sans" w:hAnsi="Work Sans" w:cs="Arial"/>
          <w:color w:val="000000" w:themeColor="text1"/>
        </w:rPr>
        <w:t xml:space="preserve"> los parámetros de medición</w:t>
      </w:r>
      <w:r>
        <w:rPr>
          <w:rFonts w:ascii="Work Sans" w:hAnsi="Work Sans" w:cs="Arial"/>
          <w:color w:val="000000" w:themeColor="text1"/>
        </w:rPr>
        <w:t xml:space="preserve"> establecidos (Tabla 1), al igual que para</w:t>
      </w:r>
      <w:r w:rsidRPr="0003664B">
        <w:rPr>
          <w:rFonts w:ascii="Work Sans" w:hAnsi="Work Sans" w:cs="Arial"/>
          <w:color w:val="000000" w:themeColor="text1"/>
        </w:rPr>
        <w:t xml:space="preserve"> </w:t>
      </w:r>
      <w:r>
        <w:rPr>
          <w:rFonts w:ascii="Work Sans" w:hAnsi="Work Sans" w:cs="Arial"/>
          <w:color w:val="000000" w:themeColor="text1"/>
        </w:rPr>
        <w:t xml:space="preserve">establecer </w:t>
      </w:r>
      <w:r w:rsidRPr="0003664B">
        <w:rPr>
          <w:rFonts w:ascii="Work Sans" w:hAnsi="Work Sans" w:cs="Arial"/>
          <w:color w:val="000000" w:themeColor="text1"/>
        </w:rPr>
        <w:t>el nivel de ejecución</w:t>
      </w:r>
      <w:r>
        <w:rPr>
          <w:rFonts w:ascii="Work Sans" w:hAnsi="Work Sans" w:cs="Arial"/>
          <w:color w:val="000000" w:themeColor="text1"/>
        </w:rPr>
        <w:t xml:space="preserve"> (Tabla 2)</w:t>
      </w:r>
      <w:r w:rsidRPr="0003664B">
        <w:rPr>
          <w:rFonts w:ascii="Work Sans" w:hAnsi="Work Sans" w:cs="Arial"/>
          <w:color w:val="000000" w:themeColor="text1"/>
        </w:rPr>
        <w:t>.</w:t>
      </w:r>
      <w:r w:rsidR="00752EE2" w:rsidRPr="00752EE2">
        <w:rPr>
          <w:rFonts w:ascii="Work Sans" w:eastAsia="Work Sans" w:hAnsi="Work Sans" w:cs="Work Sans"/>
          <w:color w:val="808080" w:themeColor="background1" w:themeShade="80"/>
        </w:rPr>
        <w:t xml:space="preserve"> </w:t>
      </w:r>
    </w:p>
    <w:p w14:paraId="50121643" w14:textId="77777777" w:rsidR="005A7BF8" w:rsidRDefault="005A7BF8" w:rsidP="002A2730">
      <w:pPr>
        <w:spacing w:after="0" w:line="240" w:lineRule="auto"/>
        <w:jc w:val="both"/>
        <w:rPr>
          <w:rFonts w:ascii="Work Sans" w:eastAsia="Work Sans" w:hAnsi="Work Sans" w:cs="Work Sans"/>
          <w:color w:val="808080" w:themeColor="background1" w:themeShade="80"/>
        </w:rPr>
      </w:pPr>
    </w:p>
    <w:p w14:paraId="456FAE14" w14:textId="3E41415C" w:rsidR="005A7BF8" w:rsidRPr="00597DDD" w:rsidRDefault="005A7BF8" w:rsidP="002A2730">
      <w:pPr>
        <w:spacing w:after="0" w:line="240" w:lineRule="auto"/>
        <w:jc w:val="both"/>
        <w:rPr>
          <w:rFonts w:ascii="Work Sans" w:hAnsi="Work Sans"/>
          <w:b/>
          <w:sz w:val="24"/>
          <w:szCs w:val="24"/>
        </w:rPr>
      </w:pPr>
      <w:r w:rsidRPr="00597DDD">
        <w:rPr>
          <w:rFonts w:ascii="Work Sans" w:hAnsi="Work Sans"/>
          <w:b/>
          <w:sz w:val="24"/>
          <w:szCs w:val="24"/>
        </w:rPr>
        <w:t>M</w:t>
      </w:r>
      <w:r w:rsidR="000950EA" w:rsidRPr="00597DDD">
        <w:rPr>
          <w:rFonts w:ascii="Work Sans" w:hAnsi="Work Sans"/>
          <w:b/>
          <w:sz w:val="24"/>
          <w:szCs w:val="24"/>
        </w:rPr>
        <w:t>ETODOLIGÍA DE MEDICIÓN</w:t>
      </w:r>
    </w:p>
    <w:p w14:paraId="7DA1F656" w14:textId="77777777" w:rsidR="002A2730" w:rsidRPr="0003664B" w:rsidRDefault="002A273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497430F6" w14:textId="77777777" w:rsidR="002A2730" w:rsidRPr="00752EE2" w:rsidRDefault="002A2730" w:rsidP="002A2730">
      <w:pPr>
        <w:spacing w:after="0" w:line="240" w:lineRule="auto"/>
        <w:jc w:val="center"/>
        <w:rPr>
          <w:rFonts w:ascii="Work Sans" w:eastAsia="Work Sans" w:hAnsi="Work Sans" w:cs="Work Sans"/>
          <w:color w:val="808080" w:themeColor="background1" w:themeShade="80"/>
        </w:rPr>
      </w:pPr>
      <w:r w:rsidRPr="00752EE2">
        <w:rPr>
          <w:rFonts w:ascii="Work Sans" w:eastAsia="Work Sans" w:hAnsi="Work Sans" w:cs="Work Sans"/>
          <w:color w:val="808080" w:themeColor="background1" w:themeShade="80"/>
        </w:rPr>
        <w:t>Tabla 1. Parámetro para el cumplimiento de acciones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4"/>
        <w:gridCol w:w="2853"/>
        <w:gridCol w:w="2837"/>
      </w:tblGrid>
      <w:tr w:rsidR="002A2730" w:rsidRPr="00827AF4" w14:paraId="7A479B7E" w14:textId="77777777" w:rsidTr="002A2730">
        <w:tc>
          <w:tcPr>
            <w:tcW w:w="3131" w:type="dxa"/>
          </w:tcPr>
          <w:p w14:paraId="0987209E" w14:textId="77777777" w:rsidR="002A2730" w:rsidRPr="00B86840" w:rsidRDefault="002A2730" w:rsidP="002A2730">
            <w:pPr>
              <w:jc w:val="center"/>
              <w:rPr>
                <w:rFonts w:ascii="Work Sans" w:hAnsi="Work Sans" w:cs="Arial"/>
                <w:b/>
                <w:color w:val="000000" w:themeColor="text1"/>
              </w:rPr>
            </w:pPr>
            <w:r w:rsidRPr="00B86840">
              <w:rPr>
                <w:rFonts w:ascii="Work Sans" w:hAnsi="Work Sans" w:cs="Arial"/>
                <w:b/>
                <w:color w:val="000000" w:themeColor="text1"/>
              </w:rPr>
              <w:t>Acción Ejecutada</w:t>
            </w:r>
          </w:p>
          <w:p w14:paraId="1FFAF94F" w14:textId="77777777" w:rsidR="002A2730" w:rsidRPr="00B86840" w:rsidRDefault="002A2730" w:rsidP="002A2730">
            <w:pPr>
              <w:jc w:val="center"/>
              <w:rPr>
                <w:rFonts w:ascii="Work Sans" w:hAnsi="Work Sans" w:cs="Arial"/>
                <w:b/>
                <w:color w:val="000000" w:themeColor="text1"/>
              </w:rPr>
            </w:pPr>
          </w:p>
        </w:tc>
        <w:tc>
          <w:tcPr>
            <w:tcW w:w="3131" w:type="dxa"/>
          </w:tcPr>
          <w:p w14:paraId="7A3B101B" w14:textId="77777777" w:rsidR="002A2730" w:rsidRPr="00B86840" w:rsidRDefault="002A2730" w:rsidP="002A2730">
            <w:pPr>
              <w:jc w:val="center"/>
              <w:rPr>
                <w:rFonts w:ascii="Work Sans" w:hAnsi="Work Sans" w:cs="Arial"/>
                <w:b/>
                <w:color w:val="000000" w:themeColor="text1"/>
              </w:rPr>
            </w:pPr>
            <w:r w:rsidRPr="00B86840">
              <w:rPr>
                <w:rFonts w:ascii="Work Sans" w:hAnsi="Work Sans" w:cs="Arial"/>
                <w:b/>
                <w:color w:val="000000" w:themeColor="text1"/>
              </w:rPr>
              <w:t>Acción Ejecutada Parcialmente</w:t>
            </w:r>
          </w:p>
        </w:tc>
        <w:tc>
          <w:tcPr>
            <w:tcW w:w="3132" w:type="dxa"/>
          </w:tcPr>
          <w:p w14:paraId="46E5D5CB" w14:textId="77777777" w:rsidR="002A2730" w:rsidRPr="00B86840" w:rsidRDefault="002A2730" w:rsidP="002A2730">
            <w:pPr>
              <w:jc w:val="center"/>
              <w:rPr>
                <w:rFonts w:ascii="Work Sans" w:hAnsi="Work Sans" w:cs="Arial"/>
                <w:b/>
                <w:color w:val="000000" w:themeColor="text1"/>
              </w:rPr>
            </w:pPr>
            <w:r w:rsidRPr="00B86840">
              <w:rPr>
                <w:rFonts w:ascii="Work Sans" w:hAnsi="Work Sans" w:cs="Arial"/>
                <w:b/>
                <w:color w:val="000000" w:themeColor="text1"/>
              </w:rPr>
              <w:t>Sin ejecutar</w:t>
            </w:r>
          </w:p>
        </w:tc>
      </w:tr>
      <w:tr w:rsidR="002A2730" w:rsidRPr="00827AF4" w14:paraId="4D5CC4C6" w14:textId="77777777" w:rsidTr="002A2730">
        <w:tc>
          <w:tcPr>
            <w:tcW w:w="3131" w:type="dxa"/>
          </w:tcPr>
          <w:p w14:paraId="28252D4E" w14:textId="77777777" w:rsidR="002A2730" w:rsidRPr="00B558AC" w:rsidRDefault="002A2730" w:rsidP="002A2730">
            <w:pPr>
              <w:jc w:val="both"/>
              <w:rPr>
                <w:rFonts w:ascii="Work Sans" w:hAnsi="Work Sans" w:cs="Arial"/>
                <w:color w:val="000000" w:themeColor="text1"/>
              </w:rPr>
            </w:pPr>
            <w:r w:rsidRPr="004B1C5D">
              <w:rPr>
                <w:rFonts w:ascii="Work Sans" w:hAnsi="Work Sans" w:cs="Arial"/>
                <w:color w:val="000000" w:themeColor="text1"/>
              </w:rPr>
              <w:t>El indicador se encuentra cumplido en su totalidad.</w:t>
            </w:r>
          </w:p>
          <w:p w14:paraId="3547DEFB" w14:textId="77777777" w:rsidR="002A2730" w:rsidRPr="00B558AC" w:rsidRDefault="002A2730" w:rsidP="002A2730">
            <w:pPr>
              <w:jc w:val="both"/>
              <w:rPr>
                <w:rFonts w:ascii="Work Sans" w:hAnsi="Work Sans" w:cs="Arial"/>
                <w:color w:val="000000" w:themeColor="text1"/>
              </w:rPr>
            </w:pPr>
          </w:p>
        </w:tc>
        <w:tc>
          <w:tcPr>
            <w:tcW w:w="3131" w:type="dxa"/>
          </w:tcPr>
          <w:p w14:paraId="21420E44" w14:textId="77777777" w:rsidR="002A2730" w:rsidRPr="00827AF4" w:rsidRDefault="002A2730" w:rsidP="002A2730">
            <w:pPr>
              <w:jc w:val="both"/>
              <w:rPr>
                <w:rFonts w:ascii="Work Sans" w:hAnsi="Work Sans" w:cs="Arial"/>
                <w:color w:val="000000" w:themeColor="text1"/>
              </w:rPr>
            </w:pPr>
            <w:r w:rsidRPr="00B558AC">
              <w:rPr>
                <w:rFonts w:ascii="Work Sans" w:hAnsi="Work Sans" w:cs="Arial"/>
                <w:color w:val="000000" w:themeColor="text1"/>
              </w:rPr>
              <w:t xml:space="preserve">El indicador </w:t>
            </w:r>
            <w:r>
              <w:rPr>
                <w:rFonts w:ascii="Work Sans" w:hAnsi="Work Sans" w:cs="Arial"/>
                <w:color w:val="000000" w:themeColor="text1"/>
              </w:rPr>
              <w:t>muestra un grado de avance, pero no logró conseguir el cumplimiento en su totalidad</w:t>
            </w:r>
          </w:p>
        </w:tc>
        <w:tc>
          <w:tcPr>
            <w:tcW w:w="3132" w:type="dxa"/>
          </w:tcPr>
          <w:p w14:paraId="7E29FA53" w14:textId="77777777" w:rsidR="002A2730" w:rsidRPr="004B1C5D" w:rsidRDefault="002A2730" w:rsidP="002A2730">
            <w:pPr>
              <w:jc w:val="both"/>
              <w:rPr>
                <w:rFonts w:ascii="Work Sans" w:hAnsi="Work Sans" w:cs="Arial"/>
                <w:iCs/>
                <w:color w:val="000000" w:themeColor="text1"/>
              </w:rPr>
            </w:pPr>
            <w:r w:rsidRPr="00827AF4">
              <w:rPr>
                <w:rFonts w:ascii="Work Sans" w:hAnsi="Work Sans" w:cs="Arial"/>
                <w:iCs/>
                <w:color w:val="000000" w:themeColor="text1"/>
              </w:rPr>
              <w:t>El indicador no se pudo cumplir por una causa determinada.</w:t>
            </w:r>
          </w:p>
          <w:p w14:paraId="2B754820" w14:textId="77777777" w:rsidR="002A2730" w:rsidRPr="00B558AC" w:rsidRDefault="002A2730" w:rsidP="002A2730">
            <w:pPr>
              <w:jc w:val="both"/>
              <w:rPr>
                <w:rFonts w:ascii="Work Sans" w:hAnsi="Work Sans" w:cs="Arial"/>
                <w:color w:val="000000" w:themeColor="text1"/>
              </w:rPr>
            </w:pPr>
          </w:p>
        </w:tc>
      </w:tr>
    </w:tbl>
    <w:p w14:paraId="7AF5AEE7" w14:textId="77777777" w:rsidR="002A2730" w:rsidRDefault="002A273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2A4D7319" w14:textId="77777777" w:rsidR="009D5F8C" w:rsidRDefault="009D5F8C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1AC98F64" w14:textId="77777777" w:rsidR="00AA38F0" w:rsidRDefault="00AA38F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4802DF7A" w14:textId="784D6581" w:rsidR="002A2730" w:rsidRPr="00752EE2" w:rsidRDefault="002A2730" w:rsidP="002A2730">
      <w:pPr>
        <w:spacing w:after="0" w:line="240" w:lineRule="auto"/>
        <w:jc w:val="center"/>
        <w:rPr>
          <w:rFonts w:ascii="Work Sans" w:eastAsia="Work Sans" w:hAnsi="Work Sans" w:cs="Work Sans"/>
          <w:color w:val="808080" w:themeColor="background1" w:themeShade="80"/>
        </w:rPr>
      </w:pPr>
      <w:r w:rsidRPr="00752EE2">
        <w:rPr>
          <w:rFonts w:ascii="Work Sans" w:eastAsia="Work Sans" w:hAnsi="Work Sans" w:cs="Work Sans"/>
          <w:color w:val="808080" w:themeColor="background1" w:themeShade="80"/>
        </w:rPr>
        <w:t>Tabla 2. Parámetro para el nivel de ejecución</w:t>
      </w:r>
      <w:r w:rsidR="005A7BF8">
        <w:rPr>
          <w:rFonts w:ascii="Work Sans" w:eastAsia="Work Sans" w:hAnsi="Work Sans" w:cs="Work Sans"/>
          <w:color w:val="808080" w:themeColor="background1" w:themeShade="80"/>
        </w:rPr>
        <w:t xml:space="preserve"> a diciembre</w:t>
      </w:r>
    </w:p>
    <w:tbl>
      <w:tblPr>
        <w:tblW w:w="56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437"/>
        <w:gridCol w:w="2831"/>
      </w:tblGrid>
      <w:tr w:rsidR="002A2730" w:rsidRPr="00827AF4" w14:paraId="718C0726" w14:textId="77777777" w:rsidTr="002A2730">
        <w:trPr>
          <w:trHeight w:val="291"/>
          <w:jc w:val="center"/>
        </w:trPr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36EB" w14:textId="77777777" w:rsidR="002A2730" w:rsidRPr="00B558AC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B558AC">
              <w:rPr>
                <w:rFonts w:ascii="Work Sans" w:hAnsi="Work Sans" w:cs="Arial"/>
                <w:b/>
                <w:bCs/>
                <w:color w:val="000000" w:themeColor="text1"/>
                <w:sz w:val="18"/>
                <w:szCs w:val="18"/>
              </w:rPr>
              <w:t xml:space="preserve">PORCENTAJE DE EJECUCIÓN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A8EB" w14:textId="77777777" w:rsidR="002A2730" w:rsidRPr="00827AF4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827AF4">
              <w:rPr>
                <w:rFonts w:ascii="Work Sans" w:hAnsi="Work Sans" w:cs="Arial"/>
                <w:b/>
                <w:bCs/>
                <w:color w:val="000000" w:themeColor="text1"/>
                <w:sz w:val="18"/>
                <w:szCs w:val="18"/>
              </w:rPr>
              <w:t>ESTADO DEL NIVEL DE EJECUCIÓN</w:t>
            </w:r>
          </w:p>
        </w:tc>
      </w:tr>
      <w:tr w:rsidR="002A2730" w:rsidRPr="00827AF4" w14:paraId="347547BF" w14:textId="77777777" w:rsidTr="002A2730">
        <w:trPr>
          <w:trHeight w:val="29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3D75" w14:textId="77777777" w:rsidR="002A2730" w:rsidRPr="004B1C5D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4B1C5D"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86B2" w14:textId="77777777" w:rsidR="002A2730" w:rsidRPr="00B558AC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48A9" w14:textId="77777777" w:rsidR="002A2730" w:rsidRPr="00827AF4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827AF4"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Bajo</w:t>
            </w:r>
          </w:p>
        </w:tc>
      </w:tr>
      <w:tr w:rsidR="002A2730" w:rsidRPr="00827AF4" w14:paraId="65D29A43" w14:textId="77777777" w:rsidTr="002A2730">
        <w:trPr>
          <w:trHeight w:val="240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47C0" w14:textId="77777777" w:rsidR="002A2730" w:rsidRPr="004B1C5D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4B1C5D"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50AA" w14:textId="77777777" w:rsidR="002A2730" w:rsidRPr="00B558AC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B558AC"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6146" w14:textId="77777777" w:rsidR="002A2730" w:rsidRPr="00827AF4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827AF4"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Medio</w:t>
            </w:r>
          </w:p>
        </w:tc>
      </w:tr>
      <w:tr w:rsidR="002A2730" w:rsidRPr="00827AF4" w14:paraId="304A6B8D" w14:textId="77777777" w:rsidTr="002A2730">
        <w:trPr>
          <w:trHeight w:val="23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E264" w14:textId="77777777" w:rsidR="002A2730" w:rsidRPr="004B1C5D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4B1C5D"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FF4E" w14:textId="77777777" w:rsidR="002A2730" w:rsidRPr="00B558AC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B558AC"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192B" w14:textId="77777777" w:rsidR="002A2730" w:rsidRPr="00827AF4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827AF4"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Alto</w:t>
            </w:r>
          </w:p>
        </w:tc>
      </w:tr>
    </w:tbl>
    <w:p w14:paraId="320CCD66" w14:textId="77777777" w:rsidR="002A2730" w:rsidRPr="006E1645" w:rsidRDefault="002A2730" w:rsidP="002A2730">
      <w:pPr>
        <w:spacing w:after="0" w:line="240" w:lineRule="auto"/>
        <w:jc w:val="both"/>
        <w:rPr>
          <w:rFonts w:ascii="Work Sans" w:hAnsi="Work Sans" w:cs="Arial"/>
          <w:b/>
          <w:color w:val="000000" w:themeColor="text1"/>
          <w:sz w:val="24"/>
          <w:szCs w:val="24"/>
        </w:rPr>
      </w:pPr>
    </w:p>
    <w:p w14:paraId="6369F846" w14:textId="77777777" w:rsidR="00173693" w:rsidRDefault="00173693" w:rsidP="00752EE2">
      <w:pPr>
        <w:pStyle w:val="Ttulo1"/>
        <w:keepLines w:val="0"/>
        <w:spacing w:before="0" w:line="240" w:lineRule="auto"/>
        <w:ind w:left="567" w:hanging="567"/>
        <w:jc w:val="both"/>
        <w:rPr>
          <w:rFonts w:ascii="Work Sans" w:hAnsi="Work Sans"/>
          <w:sz w:val="24"/>
          <w:szCs w:val="24"/>
        </w:rPr>
      </w:pPr>
    </w:p>
    <w:p w14:paraId="3F9BAFA3" w14:textId="77777777" w:rsidR="00173693" w:rsidRDefault="00173693" w:rsidP="00752EE2">
      <w:pPr>
        <w:pStyle w:val="Ttulo1"/>
        <w:keepLines w:val="0"/>
        <w:spacing w:before="0" w:line="240" w:lineRule="auto"/>
        <w:ind w:left="567" w:hanging="567"/>
        <w:jc w:val="both"/>
        <w:rPr>
          <w:rFonts w:ascii="Work Sans" w:hAnsi="Work Sans"/>
          <w:sz w:val="24"/>
          <w:szCs w:val="24"/>
        </w:rPr>
      </w:pPr>
    </w:p>
    <w:p w14:paraId="52ADE7D7" w14:textId="77777777" w:rsidR="00173693" w:rsidRPr="00173693" w:rsidRDefault="00173693" w:rsidP="00173693"/>
    <w:p w14:paraId="28990BA6" w14:textId="3012EC23" w:rsidR="002A2730" w:rsidRPr="00597DDD" w:rsidRDefault="000950EA" w:rsidP="00752EE2">
      <w:pPr>
        <w:pStyle w:val="Ttulo1"/>
        <w:keepLines w:val="0"/>
        <w:spacing w:before="0" w:line="240" w:lineRule="auto"/>
        <w:ind w:left="567" w:hanging="567"/>
        <w:jc w:val="both"/>
        <w:rPr>
          <w:rFonts w:ascii="Work Sans" w:hAnsi="Work Sans"/>
          <w:sz w:val="24"/>
          <w:szCs w:val="24"/>
        </w:rPr>
      </w:pPr>
      <w:r w:rsidRPr="00597DDD">
        <w:rPr>
          <w:rFonts w:ascii="Work Sans" w:hAnsi="Work Sans"/>
          <w:sz w:val="24"/>
          <w:szCs w:val="24"/>
        </w:rPr>
        <w:lastRenderedPageBreak/>
        <w:t xml:space="preserve">RESULTADOS PLAN DE ACCIÓN </w:t>
      </w:r>
      <w:r w:rsidR="00EF032A">
        <w:rPr>
          <w:rFonts w:ascii="Work Sans" w:hAnsi="Work Sans"/>
          <w:sz w:val="24"/>
          <w:szCs w:val="24"/>
        </w:rPr>
        <w:t>TERCER</w:t>
      </w:r>
      <w:r w:rsidR="00497B9E">
        <w:rPr>
          <w:rFonts w:ascii="Work Sans" w:hAnsi="Work Sans"/>
          <w:sz w:val="24"/>
          <w:szCs w:val="24"/>
        </w:rPr>
        <w:t xml:space="preserve"> TRIMESTRE 2022</w:t>
      </w:r>
    </w:p>
    <w:p w14:paraId="1EC36AA2" w14:textId="6811C148" w:rsidR="002A2730" w:rsidRPr="001D0E7B" w:rsidRDefault="002A273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  <w:r w:rsidRPr="001D0E7B">
        <w:rPr>
          <w:rFonts w:ascii="Work Sans" w:hAnsi="Work Sans" w:cs="Arial"/>
          <w:color w:val="000000" w:themeColor="text1"/>
        </w:rPr>
        <w:t>El proceso de planeación del Ministerio de Minas</w:t>
      </w:r>
      <w:r w:rsidR="003B645D" w:rsidRPr="001D0E7B">
        <w:rPr>
          <w:rFonts w:ascii="Work Sans" w:hAnsi="Work Sans" w:cs="Arial"/>
          <w:color w:val="000000" w:themeColor="text1"/>
        </w:rPr>
        <w:t xml:space="preserve"> y Energía para la vigencia 202</w:t>
      </w:r>
      <w:r w:rsidR="00497B9E">
        <w:rPr>
          <w:rFonts w:ascii="Work Sans" w:hAnsi="Work Sans" w:cs="Arial"/>
          <w:color w:val="000000" w:themeColor="text1"/>
        </w:rPr>
        <w:t>2</w:t>
      </w:r>
      <w:r w:rsidRPr="001D0E7B">
        <w:rPr>
          <w:rFonts w:ascii="Work Sans" w:hAnsi="Work Sans" w:cs="Arial"/>
          <w:color w:val="000000" w:themeColor="text1"/>
        </w:rPr>
        <w:t xml:space="preserve">, estuvo determinado por la construcción del Plan Nacional de Desarrollo 2018-2022, que fue aprobado con la expedición de la Ley 1955 del 25 mayo de 2019, “Pacto por </w:t>
      </w:r>
      <w:r w:rsidR="00AA38F0">
        <w:rPr>
          <w:rFonts w:ascii="Work Sans" w:hAnsi="Work Sans" w:cs="Arial"/>
          <w:color w:val="000000" w:themeColor="text1"/>
        </w:rPr>
        <w:t>Colombia, Pacto por la Equidad”, articulado con la</w:t>
      </w:r>
      <w:r w:rsidR="00CA5EE6">
        <w:rPr>
          <w:rFonts w:ascii="Work Sans" w:hAnsi="Work Sans" w:cs="Arial"/>
          <w:color w:val="000000" w:themeColor="text1"/>
        </w:rPr>
        <w:t>s</w:t>
      </w:r>
      <w:r w:rsidR="00AA38F0">
        <w:rPr>
          <w:rFonts w:ascii="Work Sans" w:hAnsi="Work Sans" w:cs="Arial"/>
          <w:color w:val="000000" w:themeColor="text1"/>
        </w:rPr>
        <w:t xml:space="preserve"> metas Estratégicas Institucionales. </w:t>
      </w:r>
    </w:p>
    <w:p w14:paraId="49DE79B4" w14:textId="77777777" w:rsidR="002A2730" w:rsidRPr="001D0E7B" w:rsidRDefault="002A273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0E74524C" w14:textId="1370018D" w:rsidR="002A2730" w:rsidRPr="00F90E7A" w:rsidRDefault="00C6679B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  <w:r w:rsidRPr="00192D6A">
        <w:rPr>
          <w:rFonts w:ascii="Work Sans" w:hAnsi="Work Sans" w:cs="Arial"/>
        </w:rPr>
        <w:t xml:space="preserve">El </w:t>
      </w:r>
      <w:r w:rsidR="00497B9E" w:rsidRPr="00192D6A">
        <w:rPr>
          <w:rFonts w:ascii="Work Sans" w:hAnsi="Work Sans" w:cs="Arial"/>
        </w:rPr>
        <w:t>Plan de Acción 2022</w:t>
      </w:r>
      <w:r w:rsidR="00E526CA" w:rsidRPr="00192D6A">
        <w:rPr>
          <w:rFonts w:ascii="Work Sans" w:hAnsi="Work Sans" w:cs="Arial"/>
        </w:rPr>
        <w:t xml:space="preserve"> </w:t>
      </w:r>
      <w:r w:rsidR="002A2730" w:rsidRPr="00192D6A">
        <w:rPr>
          <w:rFonts w:ascii="Work Sans" w:hAnsi="Work Sans" w:cs="Arial"/>
        </w:rPr>
        <w:t>quedó c</w:t>
      </w:r>
      <w:r w:rsidR="00AA38F0" w:rsidRPr="00192D6A">
        <w:rPr>
          <w:rFonts w:ascii="Work Sans" w:hAnsi="Work Sans" w:cs="Arial"/>
        </w:rPr>
        <w:t>onformado por 23</w:t>
      </w:r>
      <w:r w:rsidRPr="00192D6A">
        <w:rPr>
          <w:rFonts w:ascii="Work Sans" w:hAnsi="Work Sans" w:cs="Arial"/>
        </w:rPr>
        <w:t xml:space="preserve"> planes con</w:t>
      </w:r>
      <w:r w:rsidR="00E526CA" w:rsidRPr="00192D6A">
        <w:rPr>
          <w:rFonts w:ascii="Work Sans" w:hAnsi="Work Sans" w:cs="Arial"/>
        </w:rPr>
        <w:t xml:space="preserve"> 1</w:t>
      </w:r>
      <w:r w:rsidR="00EC3470">
        <w:rPr>
          <w:rFonts w:ascii="Work Sans" w:hAnsi="Work Sans" w:cs="Arial"/>
        </w:rPr>
        <w:t>07</w:t>
      </w:r>
      <w:r w:rsidR="00E74786" w:rsidRPr="00192D6A">
        <w:rPr>
          <w:rFonts w:ascii="Work Sans" w:hAnsi="Work Sans" w:cs="Arial"/>
        </w:rPr>
        <w:t xml:space="preserve"> metas de resultados y </w:t>
      </w:r>
      <w:r w:rsidR="00223EC7">
        <w:rPr>
          <w:rFonts w:ascii="Work Sans" w:hAnsi="Work Sans" w:cs="Arial"/>
        </w:rPr>
        <w:t>288</w:t>
      </w:r>
      <w:r w:rsidR="00D847E7" w:rsidRPr="00192D6A">
        <w:rPr>
          <w:rFonts w:ascii="Work Sans" w:hAnsi="Work Sans" w:cs="Arial"/>
        </w:rPr>
        <w:t xml:space="preserve"> metas de productos representados en el mismo </w:t>
      </w:r>
      <w:r w:rsidR="001A3F15" w:rsidRPr="00192D6A">
        <w:rPr>
          <w:rFonts w:ascii="Work Sans" w:hAnsi="Work Sans" w:cs="Arial"/>
        </w:rPr>
        <w:t>número</w:t>
      </w:r>
      <w:r w:rsidR="00D847E7" w:rsidRPr="00192D6A">
        <w:rPr>
          <w:rFonts w:ascii="Work Sans" w:hAnsi="Work Sans" w:cs="Arial"/>
        </w:rPr>
        <w:t xml:space="preserve"> de indicadores de productos</w:t>
      </w:r>
      <w:r w:rsidR="00D847E7">
        <w:rPr>
          <w:rFonts w:ascii="Work Sans" w:hAnsi="Work Sans" w:cs="Arial"/>
          <w:color w:val="000000" w:themeColor="text1"/>
        </w:rPr>
        <w:t>.</w:t>
      </w:r>
    </w:p>
    <w:p w14:paraId="575C2FD8" w14:textId="77777777" w:rsidR="00102178" w:rsidRPr="00F90E7A" w:rsidRDefault="00102178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326A3E70" w14:textId="0159AA5F" w:rsidR="00985163" w:rsidRDefault="00344B3F" w:rsidP="00344B3F">
      <w:pPr>
        <w:spacing w:after="0" w:line="240" w:lineRule="auto"/>
        <w:jc w:val="center"/>
        <w:rPr>
          <w:rFonts w:ascii="Work Sans" w:hAnsi="Work Sans" w:cs="Arial"/>
          <w:b/>
          <w:color w:val="000000" w:themeColor="text1"/>
        </w:rPr>
      </w:pPr>
      <w:r w:rsidRPr="00344B3F">
        <w:rPr>
          <w:rFonts w:ascii="Work Sans" w:hAnsi="Work Sans" w:cs="Arial"/>
          <w:b/>
          <w:color w:val="000000" w:themeColor="text1"/>
        </w:rPr>
        <w:t xml:space="preserve">Avance Plan de Acción </w:t>
      </w:r>
      <w:r w:rsidR="002127EE">
        <w:rPr>
          <w:rFonts w:ascii="Work Sans" w:hAnsi="Work Sans" w:cs="Arial"/>
          <w:b/>
          <w:color w:val="000000" w:themeColor="text1"/>
        </w:rPr>
        <w:t>cuarto</w:t>
      </w:r>
      <w:r>
        <w:rPr>
          <w:rFonts w:ascii="Work Sans" w:hAnsi="Work Sans" w:cs="Arial"/>
          <w:b/>
          <w:color w:val="000000" w:themeColor="text1"/>
        </w:rPr>
        <w:t xml:space="preserve"> trimestre</w:t>
      </w:r>
    </w:p>
    <w:p w14:paraId="6F99452D" w14:textId="77777777" w:rsidR="006C54DC" w:rsidRDefault="006C54DC" w:rsidP="00344B3F">
      <w:pPr>
        <w:spacing w:after="0" w:line="240" w:lineRule="auto"/>
        <w:jc w:val="center"/>
        <w:rPr>
          <w:rFonts w:ascii="Work Sans" w:hAnsi="Work Sans" w:cs="Arial"/>
          <w:b/>
          <w:color w:val="000000" w:themeColor="text1"/>
        </w:rPr>
      </w:pPr>
    </w:p>
    <w:tbl>
      <w:tblPr>
        <w:tblW w:w="6715" w:type="dxa"/>
        <w:tblInd w:w="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9"/>
        <w:gridCol w:w="1503"/>
        <w:gridCol w:w="1333"/>
      </w:tblGrid>
      <w:tr w:rsidR="002127EE" w:rsidRPr="002127EE" w14:paraId="27495783" w14:textId="77777777" w:rsidTr="0FF3D18F">
        <w:trPr>
          <w:trHeight w:val="525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32C4B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Dependencia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FCE8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/>
              </w:rPr>
              <w:t>Esperado Corte Diciembre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2AF3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/>
              </w:rPr>
              <w:t>Ejecutado Corte Diciembre</w:t>
            </w:r>
          </w:p>
        </w:tc>
      </w:tr>
      <w:tr w:rsidR="002127EE" w:rsidRPr="002127EE" w14:paraId="504597AD" w14:textId="77777777" w:rsidTr="0FF3D18F">
        <w:trPr>
          <w:trHeight w:val="341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F0F03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DIRECCIÓN DE ENERGÍA ELÉCTRICA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B870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6C10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61,9%</w:t>
            </w:r>
          </w:p>
        </w:tc>
      </w:tr>
      <w:tr w:rsidR="002127EE" w:rsidRPr="002127EE" w14:paraId="4075673F" w14:textId="77777777" w:rsidTr="0FF3D18F">
        <w:trPr>
          <w:trHeight w:val="259"/>
        </w:trPr>
        <w:tc>
          <w:tcPr>
            <w:tcW w:w="3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8970D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DIRECCIÓN DE FORMALIZACIÓN MINERA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80F9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B397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83,3%</w:t>
            </w:r>
          </w:p>
        </w:tc>
      </w:tr>
      <w:tr w:rsidR="002127EE" w:rsidRPr="002127EE" w14:paraId="22E8D5C4" w14:textId="77777777" w:rsidTr="0FF3D18F">
        <w:trPr>
          <w:trHeight w:val="358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A8FC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DIRECCIÓN DE HIDROCARBUROS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C83A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3C81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61,5%</w:t>
            </w:r>
          </w:p>
        </w:tc>
      </w:tr>
      <w:tr w:rsidR="002127EE" w:rsidRPr="002127EE" w14:paraId="2A28A6D0" w14:textId="77777777" w:rsidTr="0FF3D18F">
        <w:trPr>
          <w:trHeight w:val="419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7CD2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DIRECCIÓN DE MINERÍA EMPRESARIAL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5C1A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4D27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95,2%</w:t>
            </w:r>
          </w:p>
        </w:tc>
      </w:tr>
      <w:tr w:rsidR="002127EE" w:rsidRPr="002127EE" w14:paraId="06697C9E" w14:textId="77777777" w:rsidTr="0FF3D18F">
        <w:trPr>
          <w:trHeight w:val="525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44A3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OFICINA DE ASUNTOS AMBIENTALES Y SOCIALES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2190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975C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99,6%</w:t>
            </w:r>
          </w:p>
        </w:tc>
      </w:tr>
      <w:tr w:rsidR="002127EE" w:rsidRPr="002127EE" w14:paraId="6E4ED647" w14:textId="77777777" w:rsidTr="0FF3D18F">
        <w:trPr>
          <w:trHeight w:val="576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64DC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OFICINA DE ASUNTOS REGULATORIOS Y EMPRESARIALES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0CE2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2673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99,3%</w:t>
            </w:r>
          </w:p>
        </w:tc>
      </w:tr>
      <w:tr w:rsidR="002127EE" w:rsidRPr="002127EE" w14:paraId="633AF528" w14:textId="77777777" w:rsidTr="0FF3D18F">
        <w:trPr>
          <w:trHeight w:val="414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4D17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GRUPO DE EJECUCIÓN ESTRATÉGICA DEL SECTOR EXTRACTIVO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4963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5998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96,6%</w:t>
            </w:r>
          </w:p>
        </w:tc>
      </w:tr>
      <w:tr w:rsidR="002127EE" w:rsidRPr="002127EE" w14:paraId="3E4D2184" w14:textId="77777777" w:rsidTr="0FF3D18F">
        <w:trPr>
          <w:trHeight w:val="492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F0AC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GRUPO DE RELACIONAMIENTO CON EL CIUDADANO Y GESTIÓN DE LA INFORMACIÓN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DAF6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FF76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98,5%</w:t>
            </w:r>
          </w:p>
        </w:tc>
      </w:tr>
      <w:tr w:rsidR="002127EE" w:rsidRPr="002127EE" w14:paraId="4D986649" w14:textId="77777777" w:rsidTr="0FF3D18F">
        <w:trPr>
          <w:trHeight w:val="286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A204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GRUPO DE ASUNTOS LEGISLATIVOS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3DDB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E290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</w:tr>
      <w:tr w:rsidR="002127EE" w:rsidRPr="002127EE" w14:paraId="6506E4C1" w14:textId="77777777" w:rsidTr="0FF3D18F">
        <w:trPr>
          <w:trHeight w:val="404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CC4B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GRUPO DE COMUNICACIÓN Y PRENSA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47EB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C0B6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79,7%</w:t>
            </w:r>
          </w:p>
        </w:tc>
      </w:tr>
      <w:tr w:rsidR="002127EE" w:rsidRPr="002127EE" w14:paraId="6CE6BE94" w14:textId="77777777" w:rsidTr="0FF3D18F">
        <w:trPr>
          <w:trHeight w:val="410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9A67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GRUPO DE EJECUCIÓN PRESUPUESTAL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368A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0CCC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</w:tr>
      <w:tr w:rsidR="002127EE" w:rsidRPr="002127EE" w14:paraId="54D071B8" w14:textId="77777777" w:rsidTr="0FF3D18F">
        <w:trPr>
          <w:trHeight w:val="416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371D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GRUPO DE GESTIÓN CONTRACTUAL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3D69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B1F2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</w:tr>
      <w:tr w:rsidR="002127EE" w:rsidRPr="002127EE" w14:paraId="727D5A94" w14:textId="77777777" w:rsidTr="0FF3D18F">
        <w:trPr>
          <w:trHeight w:val="525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93C2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OFICINA DE CONTROL INTERNO DISCIPLINARIO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533E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3C3B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</w:tr>
      <w:tr w:rsidR="002127EE" w:rsidRPr="002127EE" w14:paraId="634FA4E4" w14:textId="77777777" w:rsidTr="0FF3D18F">
        <w:trPr>
          <w:trHeight w:val="301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D3FB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GRUPO DE GESTIÓN FINANCIERA Y CONTABLE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1388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2FF5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</w:tr>
      <w:tr w:rsidR="002127EE" w:rsidRPr="002127EE" w14:paraId="4310CCB6" w14:textId="77777777" w:rsidTr="0FF3D18F">
        <w:trPr>
          <w:trHeight w:val="420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A556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GRUPO DE INFRAESTRUCTURA TECNOLÓGICA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73F1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91A8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</w:tr>
      <w:tr w:rsidR="002127EE" w:rsidRPr="002127EE" w14:paraId="43A5CB8D" w14:textId="77777777" w:rsidTr="0FF3D18F">
        <w:trPr>
          <w:trHeight w:val="426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28D9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SUBDIRECCIÓN ADMINISTRATIVA Y FINANCIERA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F8A8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0732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</w:tr>
      <w:tr w:rsidR="002127EE" w:rsidRPr="002127EE" w14:paraId="7710B717" w14:textId="77777777" w:rsidTr="0FF3D18F">
        <w:trPr>
          <w:trHeight w:val="348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B784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GRUPO DE SERVICIOS ADMINISTRATIVOS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0DE1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6327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</w:tr>
      <w:tr w:rsidR="002127EE" w:rsidRPr="002127EE" w14:paraId="14D9147C" w14:textId="77777777" w:rsidTr="0FF3D18F">
        <w:trPr>
          <w:trHeight w:val="282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EB16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GRUPO UNIDAD DE RESULTADOS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7D0A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BE7F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</w:tr>
      <w:tr w:rsidR="002127EE" w:rsidRPr="002127EE" w14:paraId="3B7F5130" w14:textId="77777777" w:rsidTr="0FF3D18F">
        <w:trPr>
          <w:trHeight w:val="300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A6BF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OFICINA ASESORA JURÍDICA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D517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95D1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99,1%</w:t>
            </w:r>
          </w:p>
        </w:tc>
      </w:tr>
      <w:tr w:rsidR="002127EE" w:rsidRPr="002127EE" w14:paraId="4CB6797C" w14:textId="77777777" w:rsidTr="0FF3D18F">
        <w:trPr>
          <w:trHeight w:val="300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653F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sz w:val="20"/>
                <w:szCs w:val="20"/>
                <w:lang w:val="es-CO"/>
              </w:rPr>
              <w:t>OFICINA DE CONTROL INTERNO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EE51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5765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100,0%</w:t>
            </w:r>
          </w:p>
        </w:tc>
      </w:tr>
      <w:tr w:rsidR="002127EE" w:rsidRPr="002127EE" w14:paraId="4B6C61C3" w14:textId="77777777" w:rsidTr="0FF3D18F">
        <w:trPr>
          <w:trHeight w:val="525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61F1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sz w:val="20"/>
                <w:szCs w:val="20"/>
                <w:lang w:val="es-CO"/>
              </w:rPr>
              <w:t>OFICINA DE PLANEACIÓN Y GESTIÓN INTERNACIONAL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107F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CFF3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94,4%</w:t>
            </w:r>
          </w:p>
        </w:tc>
      </w:tr>
      <w:tr w:rsidR="002127EE" w:rsidRPr="002127EE" w14:paraId="397EDC07" w14:textId="77777777" w:rsidTr="0FF3D18F">
        <w:trPr>
          <w:trHeight w:val="300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506E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sz w:val="20"/>
                <w:szCs w:val="20"/>
                <w:lang w:val="es-CO"/>
              </w:rPr>
              <w:t>SUBDIRECCIÓN DE TALENTO HUMANO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5697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B565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</w:tr>
      <w:tr w:rsidR="002127EE" w:rsidRPr="002127EE" w14:paraId="545DCA64" w14:textId="77777777" w:rsidTr="0FF3D18F">
        <w:trPr>
          <w:trHeight w:val="300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C797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sz w:val="20"/>
                <w:szCs w:val="20"/>
                <w:lang w:val="es-CO"/>
              </w:rPr>
              <w:t>VICEMINISTRO DE MINAS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DDE5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8591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color w:val="000000"/>
                <w:sz w:val="20"/>
                <w:szCs w:val="20"/>
                <w:lang w:val="es-CO"/>
              </w:rPr>
              <w:t>100%</w:t>
            </w:r>
          </w:p>
        </w:tc>
      </w:tr>
      <w:tr w:rsidR="002127EE" w:rsidRPr="002127EE" w14:paraId="3B643FE3" w14:textId="77777777" w:rsidTr="0FF3D18F">
        <w:trPr>
          <w:trHeight w:val="300"/>
        </w:trPr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3971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>PROMEDIO GENERAL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7918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6DC8" w14:textId="77777777" w:rsidR="002127EE" w:rsidRPr="002127EE" w:rsidRDefault="002127EE" w:rsidP="002127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2127EE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/>
              </w:rPr>
              <w:t>94,3%</w:t>
            </w:r>
          </w:p>
        </w:tc>
      </w:tr>
    </w:tbl>
    <w:p w14:paraId="65FFBCD1" w14:textId="77777777" w:rsidR="006C54DC" w:rsidRDefault="006C54DC" w:rsidP="00344B3F">
      <w:pPr>
        <w:spacing w:after="0" w:line="240" w:lineRule="auto"/>
        <w:jc w:val="center"/>
        <w:rPr>
          <w:rFonts w:ascii="Work Sans" w:hAnsi="Work Sans" w:cs="Arial"/>
          <w:b/>
          <w:color w:val="000000" w:themeColor="text1"/>
        </w:rPr>
      </w:pPr>
    </w:p>
    <w:p w14:paraId="0BB84A5F" w14:textId="77777777" w:rsidR="00B770C9" w:rsidRDefault="00B770C9" w:rsidP="00344B3F">
      <w:pPr>
        <w:spacing w:after="0" w:line="240" w:lineRule="auto"/>
        <w:jc w:val="center"/>
        <w:rPr>
          <w:rFonts w:ascii="Work Sans" w:hAnsi="Work Sans" w:cs="Arial"/>
          <w:b/>
          <w:color w:val="000000" w:themeColor="text1"/>
        </w:rPr>
      </w:pPr>
    </w:p>
    <w:p w14:paraId="1EFB864E" w14:textId="77777777" w:rsidR="006C54DC" w:rsidRDefault="006C54DC" w:rsidP="00344B3F">
      <w:pPr>
        <w:spacing w:after="0" w:line="240" w:lineRule="auto"/>
        <w:jc w:val="center"/>
        <w:rPr>
          <w:rFonts w:ascii="Work Sans" w:hAnsi="Work Sans" w:cs="Arial"/>
          <w:b/>
          <w:color w:val="000000" w:themeColor="text1"/>
        </w:rPr>
      </w:pPr>
    </w:p>
    <w:p w14:paraId="1A1047D7" w14:textId="0F497FA5" w:rsidR="00024BE9" w:rsidRPr="00597DDD" w:rsidRDefault="00024BE9" w:rsidP="00B11F1D">
      <w:pPr>
        <w:spacing w:after="0" w:line="240" w:lineRule="auto"/>
        <w:jc w:val="both"/>
        <w:rPr>
          <w:rFonts w:ascii="Work Sans" w:hAnsi="Work Sans"/>
          <w:b/>
          <w:sz w:val="24"/>
          <w:szCs w:val="24"/>
        </w:rPr>
      </w:pPr>
      <w:r w:rsidRPr="00597DDD">
        <w:rPr>
          <w:rFonts w:ascii="Work Sans" w:hAnsi="Work Sans"/>
          <w:b/>
          <w:sz w:val="24"/>
          <w:szCs w:val="24"/>
        </w:rPr>
        <w:t>ANALISIS DE RESULTADOS</w:t>
      </w:r>
    </w:p>
    <w:p w14:paraId="20A7461D" w14:textId="3DE90933" w:rsidR="00597DDD" w:rsidRDefault="00597DDD" w:rsidP="00B11F1D">
      <w:pPr>
        <w:spacing w:after="0" w:line="240" w:lineRule="auto"/>
        <w:jc w:val="both"/>
        <w:rPr>
          <w:rFonts w:ascii="Work Sans" w:hAnsi="Work Sans"/>
          <w:b/>
          <w:color w:val="3164C9"/>
          <w:sz w:val="24"/>
          <w:szCs w:val="24"/>
        </w:rPr>
      </w:pPr>
    </w:p>
    <w:p w14:paraId="3012BC2D" w14:textId="15AFD9D5" w:rsidR="00597DDD" w:rsidRPr="00597DDD" w:rsidRDefault="00597DDD" w:rsidP="00B11F1D">
      <w:pPr>
        <w:spacing w:after="0" w:line="240" w:lineRule="auto"/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 w:rsidRPr="00597DDD">
        <w:rPr>
          <w:rFonts w:ascii="Work Sans" w:eastAsiaTheme="minorHAnsi" w:hAnsi="Work Sans" w:cs="Arial"/>
          <w:sz w:val="24"/>
          <w:szCs w:val="24"/>
          <w:lang w:val="es-CO" w:eastAsia="en-US"/>
        </w:rPr>
        <w:t>Los Objetivos plante</w:t>
      </w:r>
      <w:r w:rsidR="000412E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ados en </w:t>
      </w:r>
      <w:r w:rsidR="00BA13C0">
        <w:rPr>
          <w:rFonts w:ascii="Work Sans" w:eastAsiaTheme="minorHAnsi" w:hAnsi="Work Sans" w:cs="Arial"/>
          <w:sz w:val="24"/>
          <w:szCs w:val="24"/>
          <w:lang w:val="es-CO" w:eastAsia="en-US"/>
        </w:rPr>
        <w:t>e</w:t>
      </w:r>
      <w:r w:rsidR="00754EA6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l plan de acción para el </w:t>
      </w:r>
      <w:r w:rsidR="00DD31B0">
        <w:rPr>
          <w:rFonts w:ascii="Work Sans" w:eastAsiaTheme="minorHAnsi" w:hAnsi="Work Sans" w:cs="Arial"/>
          <w:sz w:val="24"/>
          <w:szCs w:val="24"/>
          <w:lang w:val="es-CO" w:eastAsia="en-US"/>
        </w:rPr>
        <w:t>cuarto</w:t>
      </w:r>
      <w:r w:rsidR="001C5314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trimestre</w:t>
      </w:r>
      <w:r w:rsidR="000412E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de </w:t>
      </w:r>
      <w:r w:rsidR="001C5314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2022 </w:t>
      </w:r>
      <w:r w:rsidR="001C5314" w:rsidRPr="00597DDD">
        <w:rPr>
          <w:rFonts w:ascii="Work Sans" w:eastAsiaTheme="minorHAnsi" w:hAnsi="Work Sans" w:cs="Arial"/>
          <w:sz w:val="24"/>
          <w:szCs w:val="24"/>
          <w:lang w:val="es-CO" w:eastAsia="en-US"/>
        </w:rPr>
        <w:t>alcanzaron</w:t>
      </w:r>
      <w:r w:rsidRPr="00597DDD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una ejecución del </w:t>
      </w:r>
      <w:r w:rsidR="00DD31B0">
        <w:rPr>
          <w:rFonts w:ascii="Work Sans" w:eastAsiaTheme="minorHAnsi" w:hAnsi="Work Sans" w:cs="Arial"/>
          <w:b/>
          <w:sz w:val="24"/>
          <w:szCs w:val="24"/>
          <w:lang w:val="es-CO" w:eastAsia="en-US"/>
        </w:rPr>
        <w:t>94,3</w:t>
      </w:r>
      <w:r w:rsidRPr="00597DDD">
        <w:rPr>
          <w:rFonts w:ascii="Work Sans" w:eastAsiaTheme="minorHAnsi" w:hAnsi="Work Sans" w:cs="Arial"/>
          <w:b/>
          <w:sz w:val="24"/>
          <w:szCs w:val="24"/>
          <w:lang w:val="es-CO" w:eastAsia="en-US"/>
        </w:rPr>
        <w:t>%</w:t>
      </w:r>
      <w:r w:rsidR="000412E9">
        <w:rPr>
          <w:rFonts w:ascii="Work Sans" w:eastAsiaTheme="minorHAnsi" w:hAnsi="Work Sans" w:cs="Arial"/>
          <w:b/>
          <w:sz w:val="24"/>
          <w:szCs w:val="24"/>
          <w:lang w:val="es-CO" w:eastAsia="en-US"/>
        </w:rPr>
        <w:t xml:space="preserve">, </w:t>
      </w:r>
      <w:r w:rsidR="000412E9" w:rsidRPr="000412E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sobre </w:t>
      </w:r>
      <w:r w:rsidR="000412E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un valor programado </w:t>
      </w:r>
      <w:r w:rsidR="00DD31B0">
        <w:rPr>
          <w:rFonts w:ascii="Work Sans" w:eastAsiaTheme="minorHAnsi" w:hAnsi="Work Sans" w:cs="Arial"/>
          <w:sz w:val="24"/>
          <w:szCs w:val="24"/>
          <w:lang w:val="es-CO" w:eastAsia="en-US"/>
        </w:rPr>
        <w:t>al cierre de la vigencia del</w:t>
      </w:r>
      <w:r w:rsidR="00FD3002" w:rsidRPr="00192D6A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</w:t>
      </w:r>
      <w:r w:rsidR="00DD31B0">
        <w:rPr>
          <w:rFonts w:ascii="Work Sans" w:eastAsiaTheme="minorHAnsi" w:hAnsi="Work Sans" w:cs="Arial"/>
          <w:b/>
          <w:sz w:val="24"/>
          <w:szCs w:val="24"/>
          <w:lang w:val="es-CO" w:eastAsia="en-US"/>
        </w:rPr>
        <w:t>100%</w:t>
      </w:r>
    </w:p>
    <w:p w14:paraId="398FE0C6" w14:textId="77777777" w:rsidR="001930B4" w:rsidRDefault="001930B4" w:rsidP="001930B4">
      <w:pPr>
        <w:spacing w:after="0"/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</w:p>
    <w:p w14:paraId="5CD40BA6" w14:textId="75953AAF" w:rsidR="00DD31B0" w:rsidRDefault="00C33634" w:rsidP="005D10A0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>
        <w:rPr>
          <w:rFonts w:ascii="Work Sans" w:eastAsiaTheme="minorHAnsi" w:hAnsi="Work Sans" w:cs="Arial"/>
          <w:sz w:val="24"/>
          <w:szCs w:val="24"/>
          <w:lang w:val="es-CO" w:eastAsia="en-US"/>
        </w:rPr>
        <w:t>Al cierre de la vigencia</w:t>
      </w:r>
      <w:r w:rsidR="00DD31B0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, </w:t>
      </w:r>
      <w:r w:rsidR="004320CB">
        <w:rPr>
          <w:rFonts w:ascii="Work Sans" w:eastAsiaTheme="minorHAnsi" w:hAnsi="Work Sans" w:cs="Arial"/>
          <w:sz w:val="24"/>
          <w:szCs w:val="24"/>
          <w:lang w:val="es-CO" w:eastAsia="en-US"/>
        </w:rPr>
        <w:t>27</w:t>
      </w:r>
      <w:r w:rsidR="00DD31B0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indicadores de procesos Misionales no se alcanzaron a ejecutar al 100%, situación que se alertó en distintas </w:t>
      </w:r>
      <w:r w:rsidR="00063AC7">
        <w:rPr>
          <w:rFonts w:ascii="Work Sans" w:eastAsiaTheme="minorHAnsi" w:hAnsi="Work Sans" w:cs="Arial"/>
          <w:sz w:val="24"/>
          <w:szCs w:val="24"/>
          <w:lang w:val="es-CO" w:eastAsia="en-US"/>
        </w:rPr>
        <w:t>mesas de trabajo de seguimiento</w:t>
      </w:r>
      <w:r w:rsidR="00DD31B0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con cada uno de los líderes responsable de cada área</w:t>
      </w:r>
      <w:r w:rsidR="00B41A8D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, se detallan a continuación los indicadores, </w:t>
      </w:r>
      <w:r w:rsidR="00DD31B0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6 de la Dirección de Energía Eléctrica, 2 de la Dirección de Formalización Minera y </w:t>
      </w:r>
      <w:r w:rsidR="004320CB">
        <w:rPr>
          <w:rFonts w:ascii="Work Sans" w:eastAsiaTheme="minorHAnsi" w:hAnsi="Work Sans" w:cs="Arial"/>
          <w:sz w:val="24"/>
          <w:szCs w:val="24"/>
          <w:lang w:val="es-CO" w:eastAsia="en-US"/>
        </w:rPr>
        <w:t>19</w:t>
      </w:r>
      <w:r w:rsidR="00DD31B0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de la Dirección de Hidrocarburos.</w:t>
      </w:r>
    </w:p>
    <w:p w14:paraId="650BA7E6" w14:textId="577037FB" w:rsidR="00B41A8D" w:rsidRDefault="00B41A8D" w:rsidP="005D10A0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En las áreas transversales, el grupo de Comunicaciones dos indicadores no alcanzaron el 100% debido </w:t>
      </w:r>
      <w:r w:rsidR="004320CB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no se </w:t>
      </w:r>
      <w:r w:rsidR="00063AC7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reportó </w:t>
      </w:r>
      <w:r w:rsidR="004320CB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el avance del mes de diciembre 2022 </w:t>
      </w:r>
      <w:r>
        <w:rPr>
          <w:rFonts w:ascii="Work Sans" w:eastAsiaTheme="minorHAnsi" w:hAnsi="Work Sans" w:cs="Arial"/>
          <w:sz w:val="24"/>
          <w:szCs w:val="24"/>
          <w:lang w:val="es-CO" w:eastAsia="en-US"/>
        </w:rPr>
        <w:t>y en la oficina de Planeación y Gest</w:t>
      </w:r>
      <w:r w:rsidR="00063AC7">
        <w:rPr>
          <w:rFonts w:ascii="Work Sans" w:eastAsiaTheme="minorHAnsi" w:hAnsi="Work Sans" w:cs="Arial"/>
          <w:sz w:val="24"/>
          <w:szCs w:val="24"/>
          <w:lang w:val="es-CO" w:eastAsia="en-US"/>
        </w:rPr>
        <w:t>ión Internacional el indicador</w:t>
      </w:r>
      <w:r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de Sendas de Valor no se cumpli</w:t>
      </w:r>
      <w:r w:rsidR="004320CB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ó debido a que </w:t>
      </w:r>
      <w:r w:rsidR="00F83AB7">
        <w:rPr>
          <w:rFonts w:ascii="Work Sans" w:eastAsiaTheme="minorHAnsi" w:hAnsi="Work Sans" w:cs="Arial"/>
          <w:sz w:val="24"/>
          <w:szCs w:val="24"/>
          <w:lang w:val="es-CO" w:eastAsia="en-US"/>
        </w:rPr>
        <w:t>se dio prioridad a temas del rediseño del sistema de gestión y acciones prioritarias por cambio de Gobierno.</w:t>
      </w:r>
    </w:p>
    <w:p w14:paraId="237B2EFA" w14:textId="4F8248E8" w:rsidR="00D8127E" w:rsidRPr="00CF1593" w:rsidRDefault="00D8127E" w:rsidP="005D10A0">
      <w:pPr>
        <w:jc w:val="both"/>
        <w:rPr>
          <w:rFonts w:ascii="Work Sans" w:eastAsiaTheme="minorHAnsi" w:hAnsi="Work Sans" w:cs="Arial"/>
          <w:b/>
          <w:bCs/>
          <w:sz w:val="24"/>
          <w:szCs w:val="24"/>
          <w:lang w:val="es-CO" w:eastAsia="en-US"/>
        </w:rPr>
      </w:pPr>
      <w:r w:rsidRPr="00CF1593">
        <w:rPr>
          <w:rFonts w:ascii="Work Sans" w:eastAsiaTheme="minorHAnsi" w:hAnsi="Work Sans" w:cs="Arial"/>
          <w:b/>
          <w:bCs/>
          <w:sz w:val="24"/>
          <w:szCs w:val="24"/>
          <w:lang w:val="es-CO" w:eastAsia="en-US"/>
        </w:rPr>
        <w:t>Indicadores con programación, sin avances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5947"/>
      </w:tblGrid>
      <w:tr w:rsidR="004320CB" w:rsidRPr="00B25019" w14:paraId="42B4D06A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D9AAEBE" w14:textId="77777777" w:rsidR="004320CB" w:rsidRPr="00B25019" w:rsidRDefault="004320CB" w:rsidP="0099489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25019">
              <w:rPr>
                <w:rFonts w:eastAsia="Times New Roman"/>
                <w:b/>
                <w:bCs/>
              </w:rPr>
              <w:t>Dependencia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322EA676" w14:textId="77777777" w:rsidR="004320CB" w:rsidRPr="00B25019" w:rsidRDefault="004320CB" w:rsidP="0099489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25019">
              <w:rPr>
                <w:rFonts w:eastAsia="Times New Roman"/>
                <w:b/>
                <w:bCs/>
              </w:rPr>
              <w:t>Indicador de Producto</w:t>
            </w:r>
          </w:p>
        </w:tc>
      </w:tr>
      <w:tr w:rsidR="004320CB" w:rsidRPr="00B25019" w14:paraId="4997841A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DAC3A4A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ENERGÍA ELÉCTRICA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4345032C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Preparar y realizar comités para asignar recursos a proyectos de electrificación -Actas de comité</w:t>
            </w:r>
          </w:p>
        </w:tc>
      </w:tr>
      <w:tr w:rsidR="004320CB" w:rsidRPr="00B25019" w14:paraId="032902F3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4B3C079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ENERGÍA ELÉCTRICA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0EEBB26F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Asignar recursos a proyectos de normalización de redes mediante comité</w:t>
            </w:r>
          </w:p>
        </w:tc>
      </w:tr>
      <w:tr w:rsidR="004320CB" w:rsidRPr="00B25019" w14:paraId="6A4EA21F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762E7B6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ENERGÍA ELÉCTRICA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08601D3F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Comprometer recursos asignados en comité</w:t>
            </w:r>
          </w:p>
        </w:tc>
      </w:tr>
      <w:tr w:rsidR="004320CB" w:rsidRPr="00B25019" w14:paraId="32174801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5AE6DDB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ENERGÍA ELÉCTRICA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6FB9484B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Porcentaje de avance del documento borrador para el Desarrollo de módulo de liquidación de rendimientos financieros e intereses</w:t>
            </w:r>
          </w:p>
        </w:tc>
      </w:tr>
      <w:tr w:rsidR="004320CB" w:rsidRPr="00B25019" w14:paraId="6612C2F0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232116D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ENERGÍA ELÉCTRICA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15D34BE1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Primer borrador de hoja de ruta</w:t>
            </w:r>
          </w:p>
        </w:tc>
      </w:tr>
      <w:tr w:rsidR="004320CB" w:rsidRPr="00B25019" w14:paraId="0939E9AA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8CD66F9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ENERGÍA ELÉCTRICA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7AF44CF9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Versión final publicada</w:t>
            </w:r>
          </w:p>
        </w:tc>
      </w:tr>
      <w:tr w:rsidR="004320CB" w:rsidRPr="00B25019" w14:paraId="2AD7C4AF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DC5E651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FORMALIZACIÓN MINERA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7C2176CE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Número de Consejos vinculados a la implementación del Modelo de Negocio Minero del Chocó</w:t>
            </w:r>
          </w:p>
        </w:tc>
      </w:tr>
      <w:tr w:rsidR="004320CB" w:rsidRPr="00B25019" w14:paraId="3E001B5E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2A12D31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FORMALIZACIÓN MINERA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6C4F6C71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Reducción de ha de EIM de EVOA</w:t>
            </w:r>
          </w:p>
        </w:tc>
      </w:tr>
      <w:tr w:rsidR="004320CB" w:rsidRPr="00B25019" w14:paraId="139FDAC7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526C9C7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5C17AEF5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Inversionista para la planta de regasificación y el gasoducto Buenaventura- Yumbo seleccionado</w:t>
            </w:r>
          </w:p>
        </w:tc>
      </w:tr>
      <w:tr w:rsidR="004320CB" w:rsidRPr="00B25019" w14:paraId="7CF833D4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698BBBD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5C672B62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Proyecto de adición al Decreto 1073 de 2015 con los ajustes a los criterios para las declaraciones de producción de gas natural elaborado.</w:t>
            </w:r>
          </w:p>
        </w:tc>
      </w:tr>
      <w:tr w:rsidR="004320CB" w:rsidRPr="00B25019" w14:paraId="3D16AC5F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8E93510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05A59A22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 xml:space="preserve"> Proyecto de Reglamento Técnico que establece el marco normativo de calidad Auto GLP. elaborado</w:t>
            </w:r>
          </w:p>
        </w:tc>
      </w:tr>
      <w:tr w:rsidR="004320CB" w:rsidRPr="00B25019" w14:paraId="3133917F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9DF7DD2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7DEABBCD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 xml:space="preserve"> Proyecto de resolución por la cual se autoriza el uso del Gas Natural Licuado – GNL, como carburante en motores de combustión interna y carburante en transporte automotor </w:t>
            </w:r>
            <w:r w:rsidRPr="00B25019">
              <w:rPr>
                <w:rFonts w:eastAsia="Times New Roman"/>
                <w:color w:val="000000"/>
              </w:rPr>
              <w:lastRenderedPageBreak/>
              <w:t>(</w:t>
            </w:r>
            <w:proofErr w:type="spellStart"/>
            <w:r w:rsidRPr="00B25019">
              <w:rPr>
                <w:rFonts w:eastAsia="Times New Roman"/>
                <w:color w:val="000000"/>
              </w:rPr>
              <w:t>autoGNL</w:t>
            </w:r>
            <w:proofErr w:type="spellEnd"/>
            <w:r w:rsidRPr="00B25019">
              <w:rPr>
                <w:rFonts w:eastAsia="Times New Roman"/>
                <w:color w:val="000000"/>
              </w:rPr>
              <w:t>), para la realización de prueba piloto en el territorio nacional elaborado</w:t>
            </w:r>
          </w:p>
        </w:tc>
      </w:tr>
      <w:tr w:rsidR="004320CB" w:rsidRPr="00B25019" w14:paraId="14CF57DB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2618FE1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lastRenderedPageBreak/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13D95CF1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Proyecto de acto administrativo de modificación de la Resolución 181495 de 2009 que reglamenta la exploración y la explotación de Hidrocarburos elaborado</w:t>
            </w:r>
          </w:p>
        </w:tc>
      </w:tr>
      <w:tr w:rsidR="004320CB" w:rsidRPr="00B25019" w14:paraId="63640D66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16A18EA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0E4AB73B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Proyecto de acto administrativo que establezca Reglamentación Técnica para proyectos de recobro mejorado y producción incremental o reglamentación operaciones de recobro mejorado (EOR) elaborado.</w:t>
            </w:r>
          </w:p>
        </w:tc>
      </w:tr>
      <w:tr w:rsidR="004320CB" w:rsidRPr="00B25019" w14:paraId="0099B56F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0630063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411292E2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 xml:space="preserve"> Prueba piloto de guía digital de transporte de crudo realizado</w:t>
            </w:r>
          </w:p>
        </w:tc>
      </w:tr>
      <w:tr w:rsidR="004320CB" w:rsidRPr="00B25019" w14:paraId="778D06F2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3D201D2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4A9CAC5B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Documento de evaluación de prueba del piloto de la guía digital de transporte de crudo elaborado</w:t>
            </w:r>
          </w:p>
        </w:tc>
      </w:tr>
      <w:tr w:rsidR="004320CB" w:rsidRPr="00B25019" w14:paraId="1D7BBB22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8505903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3D73C5E5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Proyecto de Resolución que establezca Reglamento Técnico del programa de calidad QA/QC elaborado</w:t>
            </w:r>
          </w:p>
        </w:tc>
      </w:tr>
      <w:tr w:rsidR="004320CB" w:rsidRPr="00B25019" w14:paraId="47826553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EC6D222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1C782078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Reportes de gestión conforme a la implementación del programa QA/QC y sus disposiciones elaborados y remitidos al Director de hidrocarburos</w:t>
            </w:r>
          </w:p>
        </w:tc>
      </w:tr>
      <w:tr w:rsidR="004320CB" w:rsidRPr="00B25019" w14:paraId="60DDE352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075F0CC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77A3C588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Proyecto de acto administrativo que establezca Regulación de requisitos de agentes de la cadena elaborado</w:t>
            </w:r>
          </w:p>
        </w:tc>
      </w:tr>
      <w:tr w:rsidR="004320CB" w:rsidRPr="00B25019" w14:paraId="3417592D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B66B6CD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6E7FB388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Reportes sobre la actualización de contratos de suministro de los agentes y actores de la cadena de distribución de combustible elaborados y remitidos al Director de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B25019">
              <w:rPr>
                <w:rFonts w:eastAsia="Times New Roman"/>
                <w:color w:val="000000"/>
              </w:rPr>
              <w:t>Hidrocarburos</w:t>
            </w:r>
          </w:p>
        </w:tc>
      </w:tr>
      <w:tr w:rsidR="004320CB" w:rsidRPr="00B25019" w14:paraId="73CE06C4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EC4D50E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602E85C0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Esquema relacionado con la focalización de Subsidios ZDF (GLP+LIQUIDOS) SICOM 2.0, mediante modelo BPM elaborado.</w:t>
            </w:r>
          </w:p>
        </w:tc>
      </w:tr>
      <w:tr w:rsidR="004320CB" w:rsidRPr="00B25019" w14:paraId="2DE06250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1E67C3F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42395E38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Convenio de cooperación con fuerza pública suscrito</w:t>
            </w:r>
          </w:p>
        </w:tc>
      </w:tr>
      <w:tr w:rsidR="004320CB" w:rsidRPr="00B25019" w14:paraId="7E1D1372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42853FB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6A2A9182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Proyecto de acto administrativo para la implementación de un sistema y/o mecanismo de monitoreo tecnológico al transporte de combustible subsidiado elaborado</w:t>
            </w:r>
          </w:p>
        </w:tc>
      </w:tr>
      <w:tr w:rsidR="004320CB" w:rsidRPr="00B25019" w14:paraId="738CFCB6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C7FF9D8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14A0B002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Proyecto de reglamentación técnica para el uso alternativo de biocombustibles en la cadena de suministro elaborado</w:t>
            </w:r>
          </w:p>
        </w:tc>
      </w:tr>
      <w:tr w:rsidR="004320CB" w:rsidRPr="00B25019" w14:paraId="453DBE5A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2C7D6F8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478E9D84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Seguimiento y control a los informes de Auditoria para cada transportador. realizada</w:t>
            </w:r>
          </w:p>
        </w:tc>
      </w:tr>
      <w:tr w:rsidR="004320CB" w:rsidRPr="00B25019" w14:paraId="425FEAFF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CBC54AA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1008F306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Proyecto de Resolución con lineamientos de contratos de agentes de la cadena elaborado</w:t>
            </w:r>
          </w:p>
        </w:tc>
      </w:tr>
      <w:tr w:rsidR="004320CB" w:rsidRPr="00B25019" w14:paraId="5B2B1AF0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4C70CDA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DIRECCIÓN DE HIDROCARBUROS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13450DB2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 xml:space="preserve"> Piloto del sistema y/o mecanismos de monitoreo tecnológico al transporte de combustible subsidiado implementado.</w:t>
            </w:r>
          </w:p>
        </w:tc>
      </w:tr>
      <w:tr w:rsidR="004320CB" w:rsidRPr="00B25019" w14:paraId="017C5E2C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FB548A6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GRUPO DE COMUNICACIÓN Y PRENSA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08B0CB85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Incremento de Interacciones en las publicaciones difundidas a través de los canales propios de comunicación del Ministerio frente a 2021</w:t>
            </w:r>
          </w:p>
        </w:tc>
      </w:tr>
      <w:tr w:rsidR="004320CB" w:rsidRPr="00B25019" w14:paraId="611BCBF8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B3581F2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GRUPO DE COMUNICACIÓN Y PRENSA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6EC6F116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Crecimiento del número de seguidores en las redes sociales del Ministerio respecto al año anterior frente a 2021</w:t>
            </w:r>
          </w:p>
        </w:tc>
      </w:tr>
      <w:tr w:rsidR="004320CB" w:rsidRPr="00B25019" w14:paraId="78E9DCA0" w14:textId="77777777" w:rsidTr="004320CB">
        <w:trPr>
          <w:trHeight w:val="30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26CCBC7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OFICINA DE PLANEACIÓN Y GESTIÓN INTERNACIONAL</w:t>
            </w:r>
          </w:p>
        </w:tc>
        <w:tc>
          <w:tcPr>
            <w:tcW w:w="5947" w:type="dxa"/>
            <w:shd w:val="clear" w:color="auto" w:fill="auto"/>
            <w:noWrap/>
            <w:vAlign w:val="bottom"/>
            <w:hideMark/>
          </w:tcPr>
          <w:p w14:paraId="22D24D3D" w14:textId="77777777" w:rsidR="004320CB" w:rsidRPr="00B25019" w:rsidRDefault="004320CB" w:rsidP="009948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25019">
              <w:rPr>
                <w:rFonts w:eastAsia="Times New Roman"/>
                <w:color w:val="000000"/>
              </w:rPr>
              <w:t>Sendas intervenidas en el ministerio</w:t>
            </w:r>
          </w:p>
        </w:tc>
      </w:tr>
    </w:tbl>
    <w:p w14:paraId="727B1A7C" w14:textId="77777777" w:rsidR="001930B4" w:rsidRDefault="001930B4" w:rsidP="001930B4">
      <w:pPr>
        <w:spacing w:after="0"/>
        <w:jc w:val="both"/>
        <w:rPr>
          <w:rFonts w:ascii="Work Sans" w:eastAsiaTheme="minorHAnsi" w:hAnsi="Work Sans" w:cs="Arial"/>
          <w:sz w:val="24"/>
          <w:szCs w:val="24"/>
          <w:highlight w:val="yellow"/>
          <w:lang w:val="es-CO" w:eastAsia="en-US"/>
        </w:rPr>
      </w:pPr>
    </w:p>
    <w:p w14:paraId="573FA8D4" w14:textId="77777777" w:rsidR="00F17237" w:rsidRPr="00B62280" w:rsidRDefault="00F17237" w:rsidP="00B62280">
      <w:pPr>
        <w:pStyle w:val="Ttulo1"/>
        <w:keepLines w:val="0"/>
        <w:spacing w:before="0" w:line="240" w:lineRule="auto"/>
        <w:ind w:left="567" w:hanging="567"/>
        <w:rPr>
          <w:rFonts w:ascii="Work Sans" w:hAnsi="Work Sans"/>
          <w:sz w:val="22"/>
          <w:szCs w:val="32"/>
        </w:rPr>
      </w:pPr>
    </w:p>
    <w:p w14:paraId="18B20921" w14:textId="77777777" w:rsidR="00F17237" w:rsidRPr="00CF1593" w:rsidRDefault="00F17237" w:rsidP="005D10A0">
      <w:pPr>
        <w:jc w:val="both"/>
        <w:rPr>
          <w:rFonts w:ascii="Work Sans" w:eastAsiaTheme="minorHAnsi" w:hAnsi="Work Sans" w:cs="Arial"/>
          <w:b/>
          <w:bCs/>
          <w:sz w:val="24"/>
          <w:szCs w:val="24"/>
          <w:lang w:val="es-CO" w:eastAsia="en-US"/>
        </w:rPr>
      </w:pPr>
    </w:p>
    <w:p w14:paraId="5412CFC2" w14:textId="77777777" w:rsidR="00173693" w:rsidRDefault="00173693" w:rsidP="00E96C91">
      <w:pPr>
        <w:pStyle w:val="Ttulo1"/>
        <w:keepLines w:val="0"/>
        <w:spacing w:before="0" w:line="240" w:lineRule="auto"/>
        <w:ind w:left="567" w:hanging="567"/>
        <w:jc w:val="center"/>
        <w:rPr>
          <w:rFonts w:ascii="Work Sans" w:hAnsi="Work Sans"/>
          <w:sz w:val="32"/>
          <w:szCs w:val="32"/>
        </w:rPr>
      </w:pPr>
    </w:p>
    <w:p w14:paraId="4A2896A7" w14:textId="77777777" w:rsidR="00E96C91" w:rsidRDefault="00E96C91" w:rsidP="00E96C91">
      <w:pPr>
        <w:pStyle w:val="Ttulo1"/>
        <w:keepLines w:val="0"/>
        <w:spacing w:before="0" w:line="240" w:lineRule="auto"/>
        <w:ind w:left="567" w:hanging="567"/>
        <w:jc w:val="center"/>
        <w:rPr>
          <w:rFonts w:ascii="Work Sans" w:hAnsi="Work Sans"/>
          <w:sz w:val="32"/>
          <w:szCs w:val="32"/>
        </w:rPr>
      </w:pPr>
      <w:r w:rsidRPr="00597DDD">
        <w:rPr>
          <w:rFonts w:ascii="Work Sans" w:hAnsi="Work Sans"/>
          <w:sz w:val="32"/>
          <w:szCs w:val="32"/>
        </w:rPr>
        <w:t>DESEMPEÑO DEL SISTEMA DE GESTIÓN</w:t>
      </w:r>
    </w:p>
    <w:p w14:paraId="12285EE2" w14:textId="1BC65F1B" w:rsidR="00E96C91" w:rsidRPr="00452C4A" w:rsidRDefault="00E96C91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 w:rsidRPr="00452C4A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Es importante conocer el desempeño de la gestión del Ministerio, a través del cumplimiento de sus objetivos y procesos, mediante los indicadores formulados por cada una de las dependencias. De tal forma, que se tenga evidencia del comportamiento de </w:t>
      </w:r>
      <w:r w:rsidR="00BE56EA" w:rsidRPr="00452C4A">
        <w:rPr>
          <w:rFonts w:ascii="Work Sans" w:eastAsiaTheme="minorHAnsi" w:hAnsi="Work Sans" w:cs="Arial"/>
          <w:sz w:val="24"/>
          <w:szCs w:val="24"/>
          <w:lang w:val="es-CO" w:eastAsia="en-US"/>
        </w:rPr>
        <w:t>estos</w:t>
      </w:r>
      <w:r w:rsidRPr="00452C4A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y permita tomar decisiones apropiadas y las acciones correspondientes para mejorar el cumplimiento de la misión del Ministerio y alcanzar las metas previstas.</w:t>
      </w:r>
    </w:p>
    <w:p w14:paraId="31CCD241" w14:textId="6D938E55" w:rsidR="00E96C91" w:rsidRDefault="00C77764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 w:rsidRPr="00EF1FC1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A continuación, </w:t>
      </w:r>
      <w:r w:rsidR="00E96C91" w:rsidRPr="00EF1FC1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se presenta el resultado de los indicadores que evidencian el desempeño del Sistema de Gestión de Calidad del Ministerio con corte a </w:t>
      </w:r>
      <w:r w:rsidR="00FE19BE">
        <w:rPr>
          <w:rFonts w:ascii="Work Sans" w:eastAsiaTheme="minorHAnsi" w:hAnsi="Work Sans" w:cs="Arial"/>
          <w:sz w:val="24"/>
          <w:szCs w:val="24"/>
          <w:lang w:val="es-CO" w:eastAsia="en-US"/>
        </w:rPr>
        <w:t>Diciembre</w:t>
      </w:r>
      <w:r w:rsidR="00EF1FC1" w:rsidRPr="00EF1FC1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2022</w:t>
      </w:r>
      <w:r w:rsidR="00E96C91" w:rsidRPr="00EF1FC1">
        <w:rPr>
          <w:rFonts w:ascii="Work Sans" w:eastAsiaTheme="minorHAnsi" w:hAnsi="Work Sans" w:cs="Arial"/>
          <w:sz w:val="24"/>
          <w:szCs w:val="24"/>
          <w:lang w:val="es-CO" w:eastAsia="en-US"/>
        </w:rPr>
        <w:t>.</w:t>
      </w:r>
    </w:p>
    <w:p w14:paraId="19AACC66" w14:textId="308B44E1" w:rsidR="00E96C91" w:rsidRDefault="004F7358" w:rsidP="00E96C91">
      <w:pPr>
        <w:rPr>
          <w:rFonts w:ascii="Work Sans" w:hAnsi="Work Sans"/>
          <w:b/>
          <w:sz w:val="32"/>
          <w:szCs w:val="32"/>
        </w:rPr>
      </w:pPr>
      <w:r w:rsidRPr="00597DDD">
        <w:rPr>
          <w:rFonts w:ascii="Work Sans" w:hAnsi="Work Sans"/>
          <w:b/>
          <w:sz w:val="32"/>
          <w:szCs w:val="32"/>
        </w:rPr>
        <w:t>Ejecución</w:t>
      </w:r>
      <w:r w:rsidR="00E96C91" w:rsidRPr="00597DDD">
        <w:rPr>
          <w:rFonts w:ascii="Work Sans" w:hAnsi="Work Sans"/>
          <w:b/>
          <w:sz w:val="32"/>
          <w:szCs w:val="32"/>
        </w:rPr>
        <w:t xml:space="preserve"> </w:t>
      </w:r>
      <w:r w:rsidR="0062293F">
        <w:rPr>
          <w:rFonts w:ascii="Work Sans" w:hAnsi="Work Sans"/>
          <w:b/>
          <w:sz w:val="32"/>
          <w:szCs w:val="32"/>
        </w:rPr>
        <w:t>de o</w:t>
      </w:r>
      <w:r w:rsidR="00984610" w:rsidRPr="00597DDD">
        <w:rPr>
          <w:rFonts w:ascii="Work Sans" w:hAnsi="Work Sans"/>
          <w:b/>
          <w:sz w:val="32"/>
          <w:szCs w:val="32"/>
        </w:rPr>
        <w:t xml:space="preserve">bjetivos </w:t>
      </w:r>
      <w:r w:rsidR="00E96C91" w:rsidRPr="00597DDD">
        <w:rPr>
          <w:rFonts w:ascii="Work Sans" w:hAnsi="Work Sans"/>
          <w:b/>
          <w:sz w:val="32"/>
          <w:szCs w:val="32"/>
        </w:rPr>
        <w:t>por dependencias</w:t>
      </w:r>
    </w:p>
    <w:p w14:paraId="3691915F" w14:textId="41C0443F" w:rsidR="00FE19BE" w:rsidRPr="00FE19BE" w:rsidRDefault="00C84865" w:rsidP="00E96C91">
      <w:pPr>
        <w:rPr>
          <w:rFonts w:ascii="Work Sans" w:hAnsi="Work Sans"/>
          <w:b/>
          <w:sz w:val="32"/>
          <w:szCs w:val="32"/>
        </w:rPr>
      </w:pPr>
      <w:r>
        <w:rPr>
          <w:rFonts w:ascii="Work Sans" w:hAnsi="Work Sans"/>
          <w:b/>
          <w:sz w:val="32"/>
          <w:szCs w:val="32"/>
        </w:rPr>
        <w:t xml:space="preserve">        </w:t>
      </w:r>
      <w:r w:rsidR="00FE19BE">
        <w:rPr>
          <w:noProof/>
          <w:lang w:val="es-CO"/>
        </w:rPr>
        <w:drawing>
          <wp:inline distT="0" distB="0" distL="0" distR="0" wp14:anchorId="4F6AF5B8" wp14:editId="5CBE8CE7">
            <wp:extent cx="4819650" cy="6048375"/>
            <wp:effectExtent l="0" t="0" r="0" b="9525"/>
            <wp:docPr id="2" name="Gráfico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c="http://schemas.openxmlformats.org/drawingml/2006/chart" xmlns:a14="http://schemas.microsoft.com/office/drawing/2010/main" xmlns:pic="http://schemas.openxmlformats.org/drawingml/2006/picture" id="{7F3D88FA-6304-4B3C-BE30-C544E03143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FD9A704" w14:textId="0B52663A" w:rsidR="007965E8" w:rsidRDefault="007965E8" w:rsidP="007965E8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14:paraId="5C8D4C05" w14:textId="2CEE7269" w:rsidR="00C33634" w:rsidRPr="00934DF9" w:rsidRDefault="00315FBC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>
        <w:rPr>
          <w:rFonts w:ascii="Work Sans" w:eastAsiaTheme="minorHAnsi" w:hAnsi="Work Sans" w:cs="Arial"/>
          <w:sz w:val="24"/>
          <w:szCs w:val="24"/>
          <w:lang w:val="es-CO" w:eastAsia="en-US"/>
        </w:rPr>
        <w:t>El</w:t>
      </w:r>
      <w:r w:rsidR="003B0D24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Plan de Acción </w:t>
      </w:r>
      <w:r w:rsidR="00FE19BE">
        <w:rPr>
          <w:rFonts w:ascii="Work Sans" w:eastAsiaTheme="minorHAnsi" w:hAnsi="Work Sans" w:cs="Arial"/>
          <w:sz w:val="24"/>
          <w:szCs w:val="24"/>
          <w:lang w:val="es-CO" w:eastAsia="en-US"/>
        </w:rPr>
        <w:t>en la vigencia 2022</w:t>
      </w:r>
      <w:r w:rsidR="003B0D24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alcanzó una </w:t>
      </w:r>
      <w:r w:rsidR="003B0D24"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ejecución del </w:t>
      </w:r>
      <w:r w:rsidR="00FE19BE" w:rsidRPr="00934DF9">
        <w:rPr>
          <w:rFonts w:ascii="Work Sans" w:eastAsiaTheme="minorHAnsi" w:hAnsi="Work Sans" w:cs="Arial"/>
          <w:b/>
          <w:sz w:val="24"/>
          <w:szCs w:val="24"/>
          <w:lang w:val="es-CO" w:eastAsia="en-US"/>
        </w:rPr>
        <w:t>94.3</w:t>
      </w:r>
      <w:r w:rsidR="00EC4783" w:rsidRPr="00934DF9">
        <w:rPr>
          <w:rFonts w:ascii="Work Sans" w:eastAsiaTheme="minorHAnsi" w:hAnsi="Work Sans" w:cs="Arial"/>
          <w:b/>
          <w:sz w:val="24"/>
          <w:szCs w:val="24"/>
          <w:lang w:val="es-CO" w:eastAsia="en-US"/>
        </w:rPr>
        <w:t>%</w:t>
      </w:r>
      <w:r w:rsidR="00C33634"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,  Como se dijo anteriormente, tres áreas misionales. Hidrocarburos, Energía Eléctrica y Formalización Minera, en algunos indicadores </w:t>
      </w:r>
      <w:r w:rsidR="00AC3ABC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no </w:t>
      </w:r>
      <w:r w:rsidR="00C33634"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>se cumplieron al 100% y en su mayoría están relacionados con</w:t>
      </w:r>
      <w:r w:rsidR="00AC44D8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la expedición</w:t>
      </w:r>
      <w:bookmarkStart w:id="1" w:name="_GoBack"/>
      <w:bookmarkEnd w:id="1"/>
      <w:r w:rsidR="00AC44D8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de </w:t>
      </w:r>
      <w:r w:rsidR="00C33634"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reglamentaciones.</w:t>
      </w:r>
    </w:p>
    <w:p w14:paraId="12C91A92" w14:textId="77777777" w:rsidR="00C33634" w:rsidRDefault="00E96C91" w:rsidP="00F028D3">
      <w:pPr>
        <w:rPr>
          <w:rFonts w:ascii="Work Sans" w:hAnsi="Work Sans"/>
          <w:b/>
          <w:sz w:val="32"/>
          <w:szCs w:val="32"/>
        </w:rPr>
      </w:pPr>
      <w:r w:rsidRPr="00F028D3">
        <w:rPr>
          <w:rFonts w:ascii="Work Sans" w:hAnsi="Work Sans"/>
          <w:b/>
          <w:sz w:val="32"/>
          <w:szCs w:val="32"/>
        </w:rPr>
        <w:t xml:space="preserve">Ejecución por </w:t>
      </w:r>
      <w:r w:rsidR="0062293F" w:rsidRPr="00F028D3">
        <w:rPr>
          <w:rFonts w:ascii="Work Sans" w:hAnsi="Work Sans"/>
          <w:b/>
          <w:sz w:val="32"/>
          <w:szCs w:val="32"/>
        </w:rPr>
        <w:t>p</w:t>
      </w:r>
      <w:r w:rsidR="00CA5EE6" w:rsidRPr="00F028D3">
        <w:rPr>
          <w:rFonts w:ascii="Work Sans" w:hAnsi="Work Sans"/>
          <w:b/>
          <w:sz w:val="32"/>
          <w:szCs w:val="32"/>
        </w:rPr>
        <w:t>rocesos</w:t>
      </w:r>
      <w:r w:rsidR="00F028D3">
        <w:rPr>
          <w:rFonts w:ascii="Work Sans" w:hAnsi="Work Sans"/>
          <w:b/>
          <w:sz w:val="32"/>
          <w:szCs w:val="32"/>
        </w:rPr>
        <w:t xml:space="preserve"> </w:t>
      </w:r>
    </w:p>
    <w:p w14:paraId="37B6FC81" w14:textId="0B2B1442" w:rsidR="00C33634" w:rsidRDefault="00C33634" w:rsidP="00F028D3">
      <w:pPr>
        <w:rPr>
          <w:rFonts w:ascii="Work Sans" w:hAnsi="Work Sans"/>
          <w:b/>
          <w:sz w:val="32"/>
          <w:szCs w:val="32"/>
        </w:rPr>
      </w:pPr>
      <w:r>
        <w:rPr>
          <w:rFonts w:ascii="Work Sans" w:hAnsi="Work Sans"/>
          <w:b/>
          <w:noProof/>
          <w:sz w:val="32"/>
          <w:szCs w:val="32"/>
          <w:lang w:val="es-CO"/>
        </w:rPr>
        <w:drawing>
          <wp:inline distT="0" distB="0" distL="0" distR="0" wp14:anchorId="5F85E34B" wp14:editId="173930A4">
            <wp:extent cx="6048375" cy="56769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567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F42BA" w14:textId="1C6F20CE" w:rsidR="00EC1E72" w:rsidRDefault="00C85CD0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>
        <w:rPr>
          <w:rFonts w:ascii="Work Sans" w:hAnsi="Work Sans" w:cs="Arial"/>
          <w:sz w:val="24"/>
          <w:szCs w:val="24"/>
        </w:rPr>
        <w:t xml:space="preserve">8 de los 16 procesos alcanzaron una ejecución del 100%, 5 procesos alcanzaron un porcentaje entre 94 y 99%, y 3 procesos están entre el 73 y 83%. El </w:t>
      </w:r>
      <w:r w:rsidRPr="00952698">
        <w:rPr>
          <w:rFonts w:ascii="Work Sans" w:hAnsi="Work Sans" w:cs="Arial"/>
          <w:sz w:val="24"/>
          <w:szCs w:val="24"/>
        </w:rPr>
        <w:t xml:space="preserve">proceso de </w:t>
      </w:r>
      <w:r>
        <w:rPr>
          <w:rFonts w:ascii="Work Sans" w:hAnsi="Work Sans" w:cs="Arial"/>
          <w:sz w:val="24"/>
          <w:szCs w:val="24"/>
        </w:rPr>
        <w:t>Formulación y Adopción de Políticas, Planes y Programas fue el de menos ejecución debido a que no lograron el objetivo en los indicadores relacionados con Reglamentaciones técnicas en áreas misionales.</w:t>
      </w:r>
      <w:r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</w:t>
      </w:r>
    </w:p>
    <w:p w14:paraId="6E4A4963" w14:textId="77777777" w:rsidR="00C85CD0" w:rsidRDefault="00C85CD0" w:rsidP="00E96C91">
      <w:pPr>
        <w:jc w:val="both"/>
        <w:rPr>
          <w:rFonts w:ascii="Work Sans" w:hAnsi="Work Sans"/>
          <w:b/>
          <w:sz w:val="32"/>
          <w:szCs w:val="32"/>
        </w:rPr>
      </w:pPr>
    </w:p>
    <w:p w14:paraId="44FB0946" w14:textId="46B8A8AC" w:rsidR="00952698" w:rsidRDefault="00E96C91" w:rsidP="00E96C91">
      <w:pPr>
        <w:jc w:val="both"/>
        <w:rPr>
          <w:rFonts w:ascii="Work Sans" w:hAnsi="Work Sans"/>
          <w:b/>
          <w:sz w:val="32"/>
          <w:szCs w:val="32"/>
        </w:rPr>
      </w:pPr>
      <w:r w:rsidRPr="002A4053">
        <w:rPr>
          <w:rFonts w:ascii="Work Sans" w:hAnsi="Work Sans"/>
          <w:b/>
          <w:sz w:val="32"/>
          <w:szCs w:val="32"/>
        </w:rPr>
        <w:lastRenderedPageBreak/>
        <w:t xml:space="preserve">Ejecución por Tipo </w:t>
      </w:r>
      <w:r w:rsidRPr="0024779C">
        <w:rPr>
          <w:rFonts w:ascii="Work Sans" w:hAnsi="Work Sans"/>
          <w:b/>
          <w:sz w:val="32"/>
          <w:szCs w:val="32"/>
        </w:rPr>
        <w:t>de Indicadores</w:t>
      </w:r>
    </w:p>
    <w:p w14:paraId="18355593" w14:textId="5AFE3748" w:rsidR="00FE16CE" w:rsidRDefault="00FE16CE" w:rsidP="0FF3D18F">
      <w:pPr>
        <w:jc w:val="both"/>
      </w:pPr>
      <w:r w:rsidRPr="0FF3D18F">
        <w:rPr>
          <w:rFonts w:ascii="Work Sans" w:hAnsi="Work Sans"/>
          <w:b/>
          <w:bCs/>
          <w:sz w:val="32"/>
          <w:szCs w:val="32"/>
        </w:rPr>
        <w:t xml:space="preserve">      </w:t>
      </w:r>
      <w:r>
        <w:rPr>
          <w:noProof/>
          <w:lang w:val="es-CO"/>
        </w:rPr>
        <w:drawing>
          <wp:inline distT="0" distB="0" distL="0" distR="0" wp14:anchorId="5DE512BF" wp14:editId="76F80149">
            <wp:extent cx="5419725" cy="3114675"/>
            <wp:effectExtent l="0" t="0" r="0" b="0"/>
            <wp:docPr id="1257010832" name="Imagen 125701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9BE57" w14:textId="51215349" w:rsidR="00FF6603" w:rsidRDefault="00FF6603" w:rsidP="00E96C91">
      <w:pPr>
        <w:jc w:val="both"/>
        <w:rPr>
          <w:rFonts w:ascii="Work Sans" w:eastAsiaTheme="minorHAnsi" w:hAnsi="Work Sans" w:cs="Arial"/>
          <w:color w:val="FF0000"/>
          <w:sz w:val="24"/>
          <w:szCs w:val="24"/>
          <w:lang w:val="es-CO" w:eastAsia="en-US"/>
        </w:rPr>
      </w:pPr>
      <w:r w:rsidRPr="00FF6603">
        <w:rPr>
          <w:rFonts w:ascii="Work Sans" w:eastAsiaTheme="minorHAnsi" w:hAnsi="Work Sans" w:cs="Arial"/>
          <w:sz w:val="24"/>
          <w:szCs w:val="24"/>
          <w:lang w:val="es-CO" w:eastAsia="en-US"/>
        </w:rPr>
        <w:t>De los 28</w:t>
      </w:r>
      <w:r w:rsidR="00DD6164">
        <w:rPr>
          <w:rFonts w:ascii="Work Sans" w:eastAsiaTheme="minorHAnsi" w:hAnsi="Work Sans" w:cs="Arial"/>
          <w:sz w:val="24"/>
          <w:szCs w:val="24"/>
          <w:lang w:val="es-CO" w:eastAsia="en-US"/>
        </w:rPr>
        <w:t>8</w:t>
      </w:r>
      <w:r w:rsidRPr="00FF6603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indicadores, 19 están clasificado como de Resultados, 7 de los cuales no se cumplieron al 100%, afectando la ejecución en la presente vigencia, se destacan 20 indicadores que se encuentran como indicadores de Eficiencia y Estratégicos, ubicados en las áreas Dirección de Energía Eléctrica, Grupo de Relacionamiento con el Ciudadano, Grupo de Unidad de Resultados</w:t>
      </w:r>
      <w:r w:rsidR="00AC3ABC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, </w:t>
      </w:r>
      <w:r w:rsidRPr="00FF6603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y la Oficina de Control Interno Disciplinario, cumplieron con las metas programadas</w:t>
      </w:r>
      <w:r w:rsidR="00AC3ABC">
        <w:rPr>
          <w:rFonts w:ascii="Work Sans" w:eastAsiaTheme="minorHAnsi" w:hAnsi="Work Sans" w:cs="Arial"/>
          <w:color w:val="FF0000"/>
          <w:sz w:val="24"/>
          <w:szCs w:val="24"/>
          <w:lang w:val="es-CO" w:eastAsia="en-US"/>
        </w:rPr>
        <w:t xml:space="preserve"> </w:t>
      </w:r>
      <w:r w:rsidR="00AC3ABC" w:rsidRPr="00AC3ABC">
        <w:rPr>
          <w:rFonts w:ascii="Work Sans" w:eastAsiaTheme="minorHAnsi" w:hAnsi="Work Sans" w:cs="Arial"/>
          <w:sz w:val="24"/>
          <w:szCs w:val="24"/>
          <w:lang w:val="es-CO" w:eastAsia="en-US"/>
        </w:rPr>
        <w:t>en el 2022</w:t>
      </w:r>
    </w:p>
    <w:p w14:paraId="20376337" w14:textId="4BA19BAD" w:rsidR="008F4EB6" w:rsidRDefault="003132E3" w:rsidP="00E96C91">
      <w:pPr>
        <w:jc w:val="both"/>
        <w:rPr>
          <w:rFonts w:ascii="Work Sans" w:hAnsi="Work Sans"/>
          <w:b/>
          <w:sz w:val="32"/>
          <w:szCs w:val="32"/>
        </w:rPr>
      </w:pPr>
      <w:r>
        <w:rPr>
          <w:rFonts w:ascii="Work Sans" w:eastAsiaTheme="minorHAnsi" w:hAnsi="Work Sans" w:cs="Arial"/>
          <w:color w:val="FF0000"/>
          <w:sz w:val="24"/>
          <w:szCs w:val="24"/>
          <w:lang w:val="es-CO" w:eastAsia="en-US"/>
        </w:rPr>
        <w:t xml:space="preserve">  </w:t>
      </w:r>
      <w:r w:rsidR="0093458D">
        <w:rPr>
          <w:rFonts w:ascii="Work Sans" w:hAnsi="Work Sans"/>
          <w:b/>
          <w:sz w:val="32"/>
          <w:szCs w:val="32"/>
        </w:rPr>
        <w:t>Ejecución por Niveles de Proceso</w:t>
      </w:r>
    </w:p>
    <w:p w14:paraId="171F094B" w14:textId="0D400E8A" w:rsidR="008F4EB6" w:rsidRPr="00EA589E" w:rsidRDefault="00627592" w:rsidP="0FF3D18F">
      <w:pPr>
        <w:jc w:val="both"/>
      </w:pPr>
      <w:r w:rsidRPr="0FF3D18F">
        <w:rPr>
          <w:rFonts w:ascii="Work Sans" w:hAnsi="Work Sans"/>
          <w:b/>
          <w:bCs/>
          <w:color w:val="FF0000"/>
          <w:sz w:val="32"/>
          <w:szCs w:val="32"/>
        </w:rPr>
        <w:t xml:space="preserve">  </w:t>
      </w:r>
      <w:r>
        <w:rPr>
          <w:noProof/>
          <w:lang w:val="es-CO"/>
        </w:rPr>
        <w:drawing>
          <wp:inline distT="0" distB="0" distL="0" distR="0" wp14:anchorId="593444AE" wp14:editId="6A9C6A16">
            <wp:extent cx="5200650" cy="2828925"/>
            <wp:effectExtent l="0" t="0" r="0" b="0"/>
            <wp:docPr id="1783604873" name="Imagen 1783604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60469" w14:textId="5CD0B039" w:rsidR="008F4EB6" w:rsidRPr="00EA589E" w:rsidRDefault="008F4EB6" w:rsidP="0FF3D18F">
      <w:pPr>
        <w:jc w:val="both"/>
        <w:rPr>
          <w:rFonts w:ascii="Work Sans" w:hAnsi="Work Sans"/>
          <w:b/>
          <w:bCs/>
          <w:color w:val="FF0000"/>
          <w:sz w:val="32"/>
          <w:szCs w:val="32"/>
        </w:rPr>
      </w:pPr>
    </w:p>
    <w:p w14:paraId="7F8C17F4" w14:textId="22A6C552" w:rsidR="00343B91" w:rsidRPr="00934DF9" w:rsidRDefault="00EA63F6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>Se destaca e</w:t>
      </w:r>
      <w:r w:rsidR="00021E46"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l desempeño de ejecución </w:t>
      </w:r>
      <w:r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del nivel de proceso Especiales, </w:t>
      </w:r>
      <w:r w:rsidR="00343B91"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de 10 indicadores, 3 del Grupo de Asuntos Legislativos y 7 del Grupo de Relacionamiento con el Servicio </w:t>
      </w:r>
      <w:r w:rsidR="00AC44D8">
        <w:rPr>
          <w:rFonts w:ascii="Work Sans" w:eastAsiaTheme="minorHAnsi" w:hAnsi="Work Sans" w:cs="Arial"/>
          <w:sz w:val="24"/>
          <w:szCs w:val="24"/>
          <w:lang w:val="es-CO" w:eastAsia="en-US"/>
        </w:rPr>
        <w:t>a</w:t>
      </w:r>
      <w:r w:rsidR="00343B91"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>l Ciudadano alcanzaron la ejecución al 100% de las metas programadas para la vigencia 2022.</w:t>
      </w:r>
    </w:p>
    <w:p w14:paraId="6FF8A5ED" w14:textId="7B062858" w:rsidR="00343B91" w:rsidRPr="00934DF9" w:rsidRDefault="00343B91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Igualmente las áreas de Oficina de Control Interno y la Oficina de Planeación y Gestión aportaron al cumplimiento del nivel del proceso de Evaluación y Control.  </w:t>
      </w:r>
    </w:p>
    <w:p w14:paraId="78686768" w14:textId="0048CD41" w:rsidR="00E96C91" w:rsidRPr="002A4053" w:rsidRDefault="0FF3D18F" w:rsidP="00E96C91">
      <w:pPr>
        <w:jc w:val="both"/>
        <w:rPr>
          <w:rFonts w:ascii="Work Sans" w:hAnsi="Work Sans"/>
          <w:b/>
          <w:sz w:val="32"/>
          <w:szCs w:val="32"/>
        </w:rPr>
      </w:pPr>
      <w:r w:rsidRPr="0FF3D18F">
        <w:rPr>
          <w:rFonts w:ascii="Work Sans" w:eastAsiaTheme="minorEastAsia" w:hAnsi="Work Sans" w:cs="Arial"/>
          <w:color w:val="FF0000"/>
          <w:sz w:val="24"/>
          <w:szCs w:val="24"/>
          <w:lang w:val="es-CO" w:eastAsia="en-US"/>
        </w:rPr>
        <w:t xml:space="preserve"> </w:t>
      </w:r>
      <w:r w:rsidRPr="0FF3D18F">
        <w:rPr>
          <w:rFonts w:ascii="Work Sans" w:hAnsi="Work Sans"/>
          <w:b/>
          <w:bCs/>
          <w:sz w:val="32"/>
          <w:szCs w:val="32"/>
        </w:rPr>
        <w:t>Objetivos de Calidad</w:t>
      </w:r>
    </w:p>
    <w:p w14:paraId="2E5AB8E9" w14:textId="4412D5F8" w:rsidR="0FF3D18F" w:rsidRDefault="0FF3D18F" w:rsidP="0FF3D18F">
      <w:pPr>
        <w:jc w:val="both"/>
      </w:pPr>
      <w:r>
        <w:rPr>
          <w:noProof/>
          <w:lang w:val="es-CO"/>
        </w:rPr>
        <w:drawing>
          <wp:inline distT="0" distB="0" distL="0" distR="0" wp14:anchorId="503691B8" wp14:editId="7D925D88">
            <wp:extent cx="5534025" cy="3038475"/>
            <wp:effectExtent l="0" t="0" r="0" b="0"/>
            <wp:docPr id="781148913" name="Imagen 781148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2257D" w14:textId="5AC622BB" w:rsidR="002C4370" w:rsidRDefault="00E96C91" w:rsidP="009A03C5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>Lo</w:t>
      </w:r>
      <w:r w:rsidR="008F4EB6"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s Objetivos de Calidad, </w:t>
      </w:r>
      <w:r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>permiten que se cumplan la política de calidad del Ministerio</w:t>
      </w:r>
      <w:r w:rsidRPr="00934DF9">
        <w:rPr>
          <w:rStyle w:val="Refdenotaalfinal"/>
          <w:rFonts w:ascii="Work Sans" w:eastAsiaTheme="minorHAnsi" w:hAnsi="Work Sans" w:cs="Arial"/>
          <w:sz w:val="24"/>
          <w:szCs w:val="24"/>
          <w:lang w:val="es-CO" w:eastAsia="en-US"/>
        </w:rPr>
        <w:endnoteReference w:id="1"/>
      </w:r>
      <w:r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>,  y se evidencia que el objetivo ¨</w:t>
      </w:r>
      <w:r w:rsidR="002F4895" w:rsidRPr="00934DF9">
        <w:t xml:space="preserve"> </w:t>
      </w:r>
      <w:r w:rsidR="00934DF9" w:rsidRPr="00934DF9">
        <w:rPr>
          <w:rFonts w:ascii="Work Sans" w:eastAsiaTheme="minorHAnsi" w:hAnsi="Work Sans" w:cs="Arial"/>
          <w:i/>
          <w:sz w:val="24"/>
          <w:szCs w:val="24"/>
          <w:lang w:val="es-CO" w:eastAsia="en-US"/>
        </w:rPr>
        <w:t>Fortalecer las competencias y el desarrollo de los Servidores Públicos, para mejorar su desempeño y la conformidad de los productos y/o servicios de la entidad</w:t>
      </w:r>
      <w:r w:rsidR="008F4EB6" w:rsidRPr="00934DF9">
        <w:rPr>
          <w:rFonts w:ascii="Work Sans" w:eastAsiaTheme="minorHAnsi" w:hAnsi="Work Sans" w:cs="Arial"/>
          <w:i/>
          <w:sz w:val="24"/>
          <w:szCs w:val="24"/>
          <w:lang w:val="es-CO" w:eastAsia="en-US"/>
        </w:rPr>
        <w:t xml:space="preserve">, </w:t>
      </w:r>
      <w:r w:rsidR="00934DF9" w:rsidRPr="00934DF9">
        <w:rPr>
          <w:rFonts w:ascii="Work Sans" w:eastAsiaTheme="minorHAnsi" w:hAnsi="Work Sans" w:cs="Arial"/>
          <w:i/>
          <w:sz w:val="24"/>
          <w:szCs w:val="24"/>
          <w:lang w:val="es-CO" w:eastAsia="en-US"/>
        </w:rPr>
        <w:t xml:space="preserve">y Garantizar la administración eficiente y oportuna de los recursos financieros, administrativos y tecnológicos para el cumplimiento de los fines de la entidad con criterios de austeridad y </w:t>
      </w:r>
      <w:r w:rsidR="00934DF9"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transparencia </w:t>
      </w:r>
      <w:r w:rsidR="00A71940"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>presenta</w:t>
      </w:r>
      <w:r w:rsidR="00934DF9" w:rsidRPr="00934DF9">
        <w:rPr>
          <w:rFonts w:ascii="Work Sans" w:eastAsiaTheme="minorHAnsi" w:hAnsi="Work Sans" w:cs="Arial"/>
          <w:sz w:val="24"/>
          <w:szCs w:val="24"/>
          <w:lang w:val="es-CO" w:eastAsia="en-US"/>
        </w:rPr>
        <w:t>n la más alta ejecución, debido a que las áreas de apoyo fueron fundamentales en el proceso de regreso a la presencialidad, situación que generó un alto compromiso para alcanzar los resultados obtenidos.</w:t>
      </w:r>
    </w:p>
    <w:p w14:paraId="7979DFFF" w14:textId="77777777" w:rsidR="00934DF9" w:rsidRDefault="00934DF9" w:rsidP="009A03C5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</w:p>
    <w:p w14:paraId="53933BDC" w14:textId="77777777" w:rsidR="00934DF9" w:rsidRDefault="00934DF9" w:rsidP="009A03C5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</w:p>
    <w:p w14:paraId="526C5B6F" w14:textId="77777777" w:rsidR="00934DF9" w:rsidRDefault="00934DF9" w:rsidP="009A03C5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</w:p>
    <w:p w14:paraId="21FC9C79" w14:textId="77777777" w:rsidR="00934DF9" w:rsidRDefault="00934DF9" w:rsidP="009A03C5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</w:p>
    <w:p w14:paraId="730B9E0D" w14:textId="77777777" w:rsidR="00934DF9" w:rsidRDefault="00934DF9" w:rsidP="009A03C5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</w:p>
    <w:p w14:paraId="305DAEB6" w14:textId="2624B2CA" w:rsidR="004F371E" w:rsidRDefault="0003218A" w:rsidP="00952698">
      <w:pPr>
        <w:jc w:val="both"/>
        <w:rPr>
          <w:rFonts w:ascii="Work Sans" w:hAnsi="Work Sans"/>
          <w:b/>
          <w:sz w:val="32"/>
          <w:szCs w:val="32"/>
        </w:rPr>
      </w:pPr>
      <w:r w:rsidRPr="0003218A">
        <w:rPr>
          <w:rFonts w:ascii="Work Sans" w:hAnsi="Work Sans"/>
          <w:b/>
          <w:sz w:val="32"/>
          <w:szCs w:val="32"/>
        </w:rPr>
        <w:lastRenderedPageBreak/>
        <w:t>Conclusiones Generales</w:t>
      </w:r>
    </w:p>
    <w:p w14:paraId="61675046" w14:textId="7549082F" w:rsidR="008F23FF" w:rsidRPr="00AC44D8" w:rsidRDefault="008F23FF" w:rsidP="008F23FF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Work Sans" w:eastAsia="Calibri" w:hAnsi="Work Sans" w:cs="Arial"/>
          <w:lang w:val="es-ES"/>
        </w:rPr>
      </w:pPr>
      <w:r w:rsidRPr="00AC44D8">
        <w:rPr>
          <w:rFonts w:ascii="Work Sans" w:eastAsia="Calibri" w:hAnsi="Work Sans" w:cs="Arial"/>
          <w:lang w:val="es-ES"/>
        </w:rPr>
        <w:t xml:space="preserve">Los registros mensuales correspondientes a los avances del plan de acción deben indicarse </w:t>
      </w:r>
      <w:r w:rsidR="009A03C5" w:rsidRPr="00AC44D8">
        <w:rPr>
          <w:rFonts w:ascii="Work Sans" w:eastAsia="Calibri" w:hAnsi="Work Sans" w:cs="Arial"/>
          <w:lang w:val="es-ES"/>
        </w:rPr>
        <w:t>de forma consistentes entre nombre del indicador, objetivo, formato, unidad de medida, Tipo o medio de evidencia.</w:t>
      </w:r>
    </w:p>
    <w:p w14:paraId="5BC194CB" w14:textId="77777777" w:rsidR="0003218A" w:rsidRPr="00AC44D8" w:rsidRDefault="0003218A" w:rsidP="000F5BCF">
      <w:pPr>
        <w:pStyle w:val="xmsonormal"/>
        <w:shd w:val="clear" w:color="auto" w:fill="FFFFFF"/>
        <w:spacing w:before="0" w:beforeAutospacing="0" w:after="0" w:afterAutospacing="0"/>
        <w:ind w:left="766"/>
        <w:jc w:val="both"/>
        <w:rPr>
          <w:rFonts w:ascii="Work Sans" w:eastAsia="Calibri" w:hAnsi="Work Sans" w:cs="Arial"/>
          <w:lang w:val="es-ES"/>
        </w:rPr>
      </w:pPr>
    </w:p>
    <w:p w14:paraId="118377E0" w14:textId="1E8F32F0" w:rsidR="0003218A" w:rsidRPr="00AC44D8" w:rsidRDefault="0003218A" w:rsidP="000F5BCF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Work Sans" w:eastAsia="Calibri" w:hAnsi="Work Sans" w:cs="Arial"/>
          <w:lang w:val="es-ES"/>
        </w:rPr>
      </w:pPr>
      <w:r w:rsidRPr="00AC44D8">
        <w:rPr>
          <w:rFonts w:ascii="Work Sans" w:eastAsia="Calibri" w:hAnsi="Work Sans" w:cs="Arial"/>
          <w:lang w:val="es-ES"/>
        </w:rPr>
        <w:t>Las evidencias deben ser consistentes, claras y precisas acordes con el objetivo y formato preestablecido en su formulación de tal forma que soporten el nivel de ejecución y cumplimiento de las metas de los indicadores.</w:t>
      </w:r>
    </w:p>
    <w:p w14:paraId="6BEF7C36" w14:textId="77777777" w:rsidR="00021E46" w:rsidRPr="00AC44D8" w:rsidRDefault="00021E46" w:rsidP="00021E46">
      <w:pPr>
        <w:pStyle w:val="Prrafodelista"/>
        <w:rPr>
          <w:rFonts w:ascii="Work Sans" w:hAnsi="Work Sans" w:cs="Arial"/>
        </w:rPr>
      </w:pPr>
    </w:p>
    <w:p w14:paraId="7A4DBD8F" w14:textId="030A9304" w:rsidR="004F371E" w:rsidRDefault="004F371E" w:rsidP="00622A56">
      <w:pPr>
        <w:spacing w:after="0"/>
        <w:jc w:val="both"/>
        <w:rPr>
          <w:rFonts w:ascii="Work Sans" w:eastAsiaTheme="minorHAnsi" w:hAnsi="Work Sans" w:cs="Arial"/>
          <w:szCs w:val="24"/>
          <w:lang w:val="es-CO" w:eastAsia="en-US"/>
        </w:rPr>
      </w:pPr>
      <w:r>
        <w:rPr>
          <w:rFonts w:ascii="Work Sans" w:eastAsiaTheme="minorHAnsi" w:hAnsi="Work Sans" w:cs="Arial"/>
          <w:szCs w:val="24"/>
          <w:lang w:val="es-CO" w:eastAsia="en-US"/>
        </w:rPr>
        <w:t>Elaboró:</w:t>
      </w:r>
    </w:p>
    <w:p w14:paraId="5FE16684" w14:textId="08D38E3E" w:rsidR="004F371E" w:rsidRDefault="004F371E" w:rsidP="00622A56">
      <w:pPr>
        <w:spacing w:after="0"/>
        <w:jc w:val="both"/>
        <w:rPr>
          <w:rFonts w:ascii="Work Sans" w:eastAsiaTheme="minorHAnsi" w:hAnsi="Work Sans" w:cs="Arial"/>
          <w:szCs w:val="24"/>
          <w:lang w:val="es-CO" w:eastAsia="en-US"/>
        </w:rPr>
      </w:pPr>
      <w:r>
        <w:rPr>
          <w:rFonts w:ascii="Work Sans" w:eastAsiaTheme="minorHAnsi" w:hAnsi="Work Sans" w:cs="Arial"/>
          <w:szCs w:val="24"/>
          <w:lang w:val="es-CO" w:eastAsia="en-US"/>
        </w:rPr>
        <w:t>Álvaro Peña – Edgar Jácome</w:t>
      </w:r>
    </w:p>
    <w:p w14:paraId="6086752B" w14:textId="7A9D80C1" w:rsidR="009A03C5" w:rsidRDefault="009A03C5" w:rsidP="00622A56">
      <w:pPr>
        <w:spacing w:after="0"/>
        <w:jc w:val="both"/>
        <w:rPr>
          <w:rFonts w:ascii="Work Sans" w:eastAsiaTheme="minorHAnsi" w:hAnsi="Work Sans" w:cs="Arial"/>
          <w:szCs w:val="24"/>
          <w:lang w:val="es-CO" w:eastAsia="en-US"/>
        </w:rPr>
      </w:pPr>
      <w:r>
        <w:rPr>
          <w:rFonts w:ascii="Work Sans" w:eastAsiaTheme="minorHAnsi" w:hAnsi="Work Sans" w:cs="Arial"/>
          <w:szCs w:val="24"/>
          <w:lang w:val="es-CO" w:eastAsia="en-US"/>
        </w:rPr>
        <w:t>Grupo de Gestión y Seguimiento Sectorial</w:t>
      </w:r>
    </w:p>
    <w:p w14:paraId="62746C52" w14:textId="2149D587" w:rsidR="004F371E" w:rsidRDefault="004F371E" w:rsidP="00622A56">
      <w:pPr>
        <w:spacing w:after="0"/>
        <w:jc w:val="both"/>
        <w:rPr>
          <w:rFonts w:ascii="Work Sans" w:eastAsiaTheme="minorHAnsi" w:hAnsi="Work Sans" w:cs="Arial"/>
          <w:szCs w:val="24"/>
          <w:lang w:val="es-CO" w:eastAsia="en-US"/>
        </w:rPr>
      </w:pPr>
      <w:r>
        <w:rPr>
          <w:rFonts w:ascii="Work Sans" w:eastAsiaTheme="minorHAnsi" w:hAnsi="Work Sans" w:cs="Arial"/>
          <w:szCs w:val="24"/>
          <w:lang w:val="es-CO" w:eastAsia="en-US"/>
        </w:rPr>
        <w:t>Oficina de Planeación y Gestión Internacional</w:t>
      </w:r>
    </w:p>
    <w:p w14:paraId="422921D7" w14:textId="77777777" w:rsidR="001152FE" w:rsidRDefault="001152FE" w:rsidP="00622A56">
      <w:pPr>
        <w:spacing w:after="0"/>
        <w:jc w:val="both"/>
        <w:rPr>
          <w:rFonts w:ascii="Work Sans" w:eastAsiaTheme="minorHAnsi" w:hAnsi="Work Sans" w:cs="Arial"/>
          <w:szCs w:val="24"/>
          <w:lang w:val="es-CO" w:eastAsia="en-US"/>
        </w:rPr>
      </w:pPr>
    </w:p>
    <w:p w14:paraId="5E0B62DC" w14:textId="77777777" w:rsidR="009E6428" w:rsidRDefault="009E6428" w:rsidP="00E96C91">
      <w:pPr>
        <w:pStyle w:val="Textoindependiente"/>
        <w:jc w:val="left"/>
        <w:rPr>
          <w:rFonts w:ascii="Work Sans" w:eastAsiaTheme="minorHAnsi" w:hAnsi="Work Sans" w:cs="Arial"/>
          <w:sz w:val="16"/>
          <w:szCs w:val="16"/>
          <w:lang w:val="es-CO" w:eastAsia="en-US"/>
        </w:rPr>
      </w:pPr>
    </w:p>
    <w:p w14:paraId="28747798" w14:textId="77777777" w:rsidR="009E6428" w:rsidRDefault="009E6428" w:rsidP="00E96C91">
      <w:pPr>
        <w:pStyle w:val="Textoindependiente"/>
        <w:jc w:val="left"/>
        <w:rPr>
          <w:rFonts w:ascii="Work Sans" w:eastAsiaTheme="minorHAnsi" w:hAnsi="Work Sans" w:cs="Arial"/>
          <w:sz w:val="16"/>
          <w:szCs w:val="16"/>
          <w:lang w:val="es-CO" w:eastAsia="en-US"/>
        </w:rPr>
      </w:pPr>
    </w:p>
    <w:p w14:paraId="46759CAD" w14:textId="77777777" w:rsidR="009E6428" w:rsidRDefault="009E6428" w:rsidP="00E96C91">
      <w:pPr>
        <w:pStyle w:val="Textoindependiente"/>
        <w:jc w:val="left"/>
        <w:rPr>
          <w:rFonts w:ascii="Work Sans" w:eastAsiaTheme="minorHAnsi" w:hAnsi="Work Sans" w:cs="Arial"/>
          <w:sz w:val="16"/>
          <w:szCs w:val="16"/>
          <w:lang w:val="es-CO" w:eastAsia="en-US"/>
        </w:rPr>
      </w:pPr>
    </w:p>
    <w:p w14:paraId="08F7B8EF" w14:textId="355A41E9" w:rsidR="00E96C91" w:rsidRPr="001152FE" w:rsidRDefault="00934DF9" w:rsidP="00E96C91">
      <w:pPr>
        <w:pStyle w:val="Textoindependiente"/>
        <w:jc w:val="left"/>
        <w:rPr>
          <w:rFonts w:ascii="Work Sans" w:eastAsiaTheme="minorHAnsi" w:hAnsi="Work Sans" w:cs="Arial"/>
          <w:sz w:val="16"/>
          <w:szCs w:val="16"/>
          <w:lang w:val="es-CO" w:eastAsia="en-US"/>
        </w:rPr>
      </w:pPr>
      <w:r>
        <w:rPr>
          <w:rFonts w:ascii="Work Sans" w:eastAsiaTheme="minorHAnsi" w:hAnsi="Work Sans" w:cs="Arial"/>
          <w:sz w:val="16"/>
          <w:szCs w:val="16"/>
          <w:lang w:val="es-CO" w:eastAsia="en-US"/>
        </w:rPr>
        <w:t xml:space="preserve">Diciembre </w:t>
      </w:r>
      <w:r w:rsidR="00B50428">
        <w:rPr>
          <w:rFonts w:ascii="Work Sans" w:eastAsiaTheme="minorHAnsi" w:hAnsi="Work Sans" w:cs="Arial"/>
          <w:sz w:val="16"/>
          <w:szCs w:val="16"/>
          <w:lang w:val="es-CO" w:eastAsia="en-US"/>
        </w:rPr>
        <w:t>-</w:t>
      </w:r>
      <w:r w:rsidR="001152FE" w:rsidRPr="001152FE">
        <w:rPr>
          <w:rFonts w:ascii="Work Sans" w:eastAsiaTheme="minorHAnsi" w:hAnsi="Work Sans" w:cs="Arial"/>
          <w:sz w:val="16"/>
          <w:szCs w:val="16"/>
          <w:lang w:val="es-CO" w:eastAsia="en-US"/>
        </w:rPr>
        <w:t>2022</w:t>
      </w:r>
    </w:p>
    <w:sectPr w:rsidR="00E96C91" w:rsidRPr="001152FE" w:rsidSect="00003CB8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D9941" w14:textId="77777777" w:rsidR="00EE4FC9" w:rsidRDefault="00EE4FC9" w:rsidP="00003CB8">
      <w:pPr>
        <w:spacing w:after="0" w:line="240" w:lineRule="auto"/>
      </w:pPr>
      <w:r>
        <w:separator/>
      </w:r>
    </w:p>
  </w:endnote>
  <w:endnote w:type="continuationSeparator" w:id="0">
    <w:p w14:paraId="1D94F5B5" w14:textId="77777777" w:rsidR="00EE4FC9" w:rsidRDefault="00EE4FC9" w:rsidP="00003CB8">
      <w:pPr>
        <w:spacing w:after="0" w:line="240" w:lineRule="auto"/>
      </w:pPr>
      <w:r>
        <w:continuationSeparator/>
      </w:r>
    </w:p>
  </w:endnote>
  <w:endnote w:id="1">
    <w:p w14:paraId="60311698" w14:textId="77777777" w:rsidR="008E69FF" w:rsidRPr="00BF4544" w:rsidRDefault="008E69FF" w:rsidP="009E64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14"/>
          <w:szCs w:val="14"/>
          <w:lang w:val="es-CO"/>
        </w:rPr>
      </w:pPr>
      <w:r>
        <w:rPr>
          <w:rStyle w:val="Refdenotaalfinal"/>
        </w:rPr>
        <w:endnoteRef/>
      </w:r>
      <w:r>
        <w:t xml:space="preserve"> </w:t>
      </w:r>
      <w:r w:rsidRPr="00BF4544">
        <w:rPr>
          <w:rFonts w:ascii="Helvetica" w:eastAsia="Times New Roman" w:hAnsi="Helvetica" w:cs="Helvetica"/>
          <w:color w:val="333333"/>
          <w:sz w:val="14"/>
          <w:szCs w:val="14"/>
          <w:lang w:val="es-CO"/>
        </w:rPr>
        <w:t>El Ministerio de Minas y Energía establece su compromiso con el aprovechamiento sostenible de los recursos mineros y energéticos en el territorio nacional mediante la formulación y adopción de políticas, regulaciones y reglamentaciones que satisfagan las necesidades de los ciudadanos, partes interesadas y el cumplimiento de los requerimientos constitucionales, legales y normativos.</w:t>
      </w:r>
    </w:p>
    <w:p w14:paraId="563CAD5E" w14:textId="67661BD6" w:rsidR="008E69FF" w:rsidRPr="00BF4544" w:rsidRDefault="008E69FF" w:rsidP="00E96C91">
      <w:pPr>
        <w:pStyle w:val="Textonotaalfinal"/>
        <w:rPr>
          <w:lang w:val="es-CO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00000001" w:usb1="5000E07B" w:usb2="00000000" w:usb3="00000000" w:csb0="000001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2798609"/>
      <w:docPartObj>
        <w:docPartGallery w:val="Page Numbers (Bottom of Page)"/>
        <w:docPartUnique/>
      </w:docPartObj>
    </w:sdtPr>
    <w:sdtEndPr/>
    <w:sdtContent>
      <w:p w14:paraId="4C6681B4" w14:textId="21AA760A" w:rsidR="008E69FF" w:rsidRDefault="008E69F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4D8">
          <w:rPr>
            <w:noProof/>
          </w:rPr>
          <w:t>10</w:t>
        </w:r>
        <w:r>
          <w:fldChar w:fldCharType="end"/>
        </w:r>
      </w:p>
    </w:sdtContent>
  </w:sdt>
  <w:p w14:paraId="138AB7BA" w14:textId="77777777" w:rsidR="008E69FF" w:rsidRDefault="008E69FF" w:rsidP="00003CB8">
    <w:pPr>
      <w:pStyle w:val="Piedepgina"/>
      <w:tabs>
        <w:tab w:val="clear" w:pos="4419"/>
        <w:tab w:val="clear" w:pos="8838"/>
        <w:tab w:val="center" w:pos="425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1800E" w14:textId="77777777" w:rsidR="00EE4FC9" w:rsidRDefault="00EE4FC9" w:rsidP="00003CB8">
      <w:pPr>
        <w:spacing w:after="0" w:line="240" w:lineRule="auto"/>
      </w:pPr>
      <w:r>
        <w:separator/>
      </w:r>
    </w:p>
  </w:footnote>
  <w:footnote w:type="continuationSeparator" w:id="0">
    <w:p w14:paraId="4010041C" w14:textId="77777777" w:rsidR="00EE4FC9" w:rsidRDefault="00EE4FC9" w:rsidP="0000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210FB" w14:textId="3F41EC69" w:rsidR="008E69FF" w:rsidRDefault="00865F9F">
    <w:pPr>
      <w:pStyle w:val="Encabezado"/>
    </w:pPr>
    <w:r>
      <w:rPr>
        <w:noProof/>
        <w:lang w:val="es-CO"/>
      </w:rPr>
      <w:drawing>
        <wp:inline distT="0" distB="0" distL="0" distR="0" wp14:anchorId="5F17616B" wp14:editId="24C5F830">
          <wp:extent cx="1457325" cy="466090"/>
          <wp:effectExtent l="0" t="0" r="9525" b="0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9307" cy="466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55A8E">
      <w:rPr>
        <w:noProof/>
        <w:lang w:val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89245" wp14:editId="1573A46A">
              <wp:simplePos x="0" y="0"/>
              <wp:positionH relativeFrom="page">
                <wp:align>right</wp:align>
              </wp:positionH>
              <wp:positionV relativeFrom="paragraph">
                <wp:posOffset>-316230</wp:posOffset>
              </wp:positionV>
              <wp:extent cx="7537836" cy="323850"/>
              <wp:effectExtent l="0" t="0" r="6350" b="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7836" cy="323850"/>
                      </a:xfrm>
                      <a:prstGeom prst="rect">
                        <a:avLst/>
                      </a:prstGeom>
                      <a:solidFill>
                        <a:srgbClr val="1F91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pic="http://schemas.openxmlformats.org/drawingml/2006/picture" xmlns:a="http://schemas.openxmlformats.org/drawingml/2006/main">
          <w:pict>
            <v:rect id="Rectángulo 12" style="position:absolute;margin-left:542.35pt;margin-top:-24.9pt;width:593.5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1f9169" stroked="f" strokeweight="2pt" w14:anchorId="409F0C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5QHoQIAAIkFAAAOAAAAZHJzL2Uyb0RvYy54bWysVEtuGzEM3RfoHQTtm/EnzsfIODASuCgQ&#10;JEGSImtZI3kG0IgqJXvs3qZn6cVKaT5J06CLol7Iokg+km9IXlzua8N2Cn0FNufjoxFnykooKrvJ&#10;+den1aczznwQthAGrMr5QXl+ufj44aJxczWBEkyhkBGI9fPG5bwMwc2zzMtS1cIfgVOWlBqwFoFE&#10;3GQFiobQa5NNRqOTrAEsHIJU3tPrdavki4SvtZLhTmuvAjM5p9xCOjGd63hmiwsx36BwZSW7NMQ/&#10;ZFGLylLQAepaBMG2WP0BVVcSwYMORxLqDLSupEo1UDXj0ZtqHkvhVKqFyPFuoMn/P1h5u7tHVhX0&#10;7SacWVHTN3og1n7+sJutAUavRFHj/JwsH909dpKna6x3r7GO/1QJ2ydaDwOtah+YpMfT2fT0bHrC&#10;mSTddDI9myXesxdvhz58VlCzeMk5UgKJTbG78YEikmlvEoN5MFWxqoxJAm7WVwbZTtAnHq/Oxyfn&#10;MWVy+c3M2GhsIbq16viSxcraWtItHIyKdsY+KE20UPaTlElqSDXEEVIqG8atqhSFasPPRvTro8cW&#10;jh4plwQYkTXFH7A7gN6yBemx2yw7++iqUj8PzqO/JdY6Dx4pMtgwONeVBXwPwFBVXeTWvieppSay&#10;tIbiQE2D0E6Td3JV0Xe7ET7cC6TxoUGjlRDu6NAGmpxDd+OsBPz+3nu0p64mLWcNjWPO/betQMWZ&#10;+WKp38/Hx8dxfpNwPDudkICvNevXGrutryC2Ay0fJ9M12gfTXzVC/UybYxmjkkpYSbFzLgP2wlVo&#10;1wTtHqmWy2RGM+tEuLGPTkbwyGrsy6f9s0DXNW+gtr+FfnTF/E0Pt7bR08JyG0BXqcFfeO34pnlP&#10;jdPtprhQXsvJ6mWDLn4BAAD//wMAUEsDBBQABgAIAAAAIQA9dq2q3QAAAAcBAAAPAAAAZHJzL2Rv&#10;d25yZXYueG1sTI/BTsMwEETvSPyDtUjcWicRlDaNUyEE4gASovQDtvE2iYjXUeymoV/P9gS3Wc1q&#10;5k2xmVynRhpC69lAOk9AEVfetlwb2H29zJagQkS22HkmAz8UYFNeXxWYW3/iTxq3sVYSwiFHA02M&#10;fa51qBpyGOa+Jxbv4AeHUc6h1nbAk4S7TmdJstAOW5aGBnt6aqj63h6dAV3j88e53k09nRf32du7&#10;fl3F0Zjbm+lxDSrSFP+e4YIv6FAK094f2QbVGZAh0cDsbiUDLna6fEhB7UVloMtC/+cvfwEAAP//&#10;AwBQSwECLQAUAAYACAAAACEAtoM4kv4AAADhAQAAEwAAAAAAAAAAAAAAAAAAAAAAW0NvbnRlbnRf&#10;VHlwZXNdLnhtbFBLAQItABQABgAIAAAAIQA4/SH/1gAAAJQBAAALAAAAAAAAAAAAAAAAAC8BAABf&#10;cmVscy8ucmVsc1BLAQItABQABgAIAAAAIQDDU5QHoQIAAIkFAAAOAAAAAAAAAAAAAAAAAC4CAABk&#10;cnMvZTJvRG9jLnhtbFBLAQItABQABgAIAAAAIQA9dq2q3QAAAAcBAAAPAAAAAAAAAAAAAAAAAPsE&#10;AABkcnMvZG93bnJldi54bWxQSwUGAAAAAAQABADzAAAABQYAAAAA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7E27"/>
    <w:multiLevelType w:val="hybridMultilevel"/>
    <w:tmpl w:val="E9C4A1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41D2"/>
    <w:multiLevelType w:val="hybridMultilevel"/>
    <w:tmpl w:val="D0587520"/>
    <w:lvl w:ilvl="0" w:tplc="B108F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FA90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8D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0C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66F4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002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84C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C6C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ED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241DA"/>
    <w:multiLevelType w:val="hybridMultilevel"/>
    <w:tmpl w:val="1570E1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F51BD"/>
    <w:multiLevelType w:val="hybridMultilevel"/>
    <w:tmpl w:val="287EB6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78C"/>
    <w:multiLevelType w:val="hybridMultilevel"/>
    <w:tmpl w:val="8050F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978AB"/>
    <w:multiLevelType w:val="hybridMultilevel"/>
    <w:tmpl w:val="3E080E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A781B"/>
    <w:multiLevelType w:val="hybridMultilevel"/>
    <w:tmpl w:val="DED086F4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00C71"/>
    <w:multiLevelType w:val="hybridMultilevel"/>
    <w:tmpl w:val="DAF0D0BE"/>
    <w:lvl w:ilvl="0" w:tplc="923EC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7E1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9A7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6A2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24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8270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02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E0E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0AEC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9D2FFC"/>
    <w:multiLevelType w:val="hybridMultilevel"/>
    <w:tmpl w:val="0952FFF0"/>
    <w:lvl w:ilvl="0" w:tplc="5A8E7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3AC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C60A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D87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266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E70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60F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5869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3255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6C6901"/>
    <w:multiLevelType w:val="hybridMultilevel"/>
    <w:tmpl w:val="33883824"/>
    <w:lvl w:ilvl="0" w:tplc="0494F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263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401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A65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CD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606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81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AE1B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06D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D83DFE"/>
    <w:multiLevelType w:val="hybridMultilevel"/>
    <w:tmpl w:val="A2AA00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32FB5"/>
    <w:multiLevelType w:val="hybridMultilevel"/>
    <w:tmpl w:val="BC1037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B6ABA"/>
    <w:multiLevelType w:val="hybridMultilevel"/>
    <w:tmpl w:val="42C86FD8"/>
    <w:lvl w:ilvl="0" w:tplc="EC32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43E96"/>
    <w:multiLevelType w:val="hybridMultilevel"/>
    <w:tmpl w:val="A33601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9496C"/>
    <w:multiLevelType w:val="hybridMultilevel"/>
    <w:tmpl w:val="ED407478"/>
    <w:lvl w:ilvl="0" w:tplc="2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73445A8C"/>
    <w:multiLevelType w:val="hybridMultilevel"/>
    <w:tmpl w:val="E6A02EC8"/>
    <w:lvl w:ilvl="0" w:tplc="0EB6D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1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4E5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06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60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D075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D07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CC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C23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15"/>
  </w:num>
  <w:num w:numId="12">
    <w:abstractNumId w:val="8"/>
  </w:num>
  <w:num w:numId="13">
    <w:abstractNumId w:val="1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BC"/>
    <w:rsid w:val="00003020"/>
    <w:rsid w:val="00003CB8"/>
    <w:rsid w:val="00006E80"/>
    <w:rsid w:val="0001317B"/>
    <w:rsid w:val="0002109D"/>
    <w:rsid w:val="00021DBF"/>
    <w:rsid w:val="00021E46"/>
    <w:rsid w:val="00022C67"/>
    <w:rsid w:val="00024BE9"/>
    <w:rsid w:val="0002596C"/>
    <w:rsid w:val="0003218A"/>
    <w:rsid w:val="000412E9"/>
    <w:rsid w:val="00042B3E"/>
    <w:rsid w:val="000445D5"/>
    <w:rsid w:val="00046948"/>
    <w:rsid w:val="000471BB"/>
    <w:rsid w:val="00051DFC"/>
    <w:rsid w:val="00055A8E"/>
    <w:rsid w:val="00060921"/>
    <w:rsid w:val="000622C9"/>
    <w:rsid w:val="00063059"/>
    <w:rsid w:val="00063AC7"/>
    <w:rsid w:val="000664B9"/>
    <w:rsid w:val="0006709A"/>
    <w:rsid w:val="00067DD2"/>
    <w:rsid w:val="00067F35"/>
    <w:rsid w:val="00071A5C"/>
    <w:rsid w:val="0008011C"/>
    <w:rsid w:val="000841D9"/>
    <w:rsid w:val="00086489"/>
    <w:rsid w:val="000950EA"/>
    <w:rsid w:val="00097D20"/>
    <w:rsid w:val="000A4DB8"/>
    <w:rsid w:val="000A731D"/>
    <w:rsid w:val="000B538B"/>
    <w:rsid w:val="000B612F"/>
    <w:rsid w:val="000B6E7D"/>
    <w:rsid w:val="000C29DC"/>
    <w:rsid w:val="000D01B0"/>
    <w:rsid w:val="000D0B4C"/>
    <w:rsid w:val="000D14E2"/>
    <w:rsid w:val="000D26BA"/>
    <w:rsid w:val="000D5116"/>
    <w:rsid w:val="000E0ABF"/>
    <w:rsid w:val="000E527C"/>
    <w:rsid w:val="000F3BA4"/>
    <w:rsid w:val="000F47D9"/>
    <w:rsid w:val="000F5BCF"/>
    <w:rsid w:val="00102178"/>
    <w:rsid w:val="00103A67"/>
    <w:rsid w:val="00103CFB"/>
    <w:rsid w:val="00106136"/>
    <w:rsid w:val="001069B7"/>
    <w:rsid w:val="001152FE"/>
    <w:rsid w:val="00120199"/>
    <w:rsid w:val="00121E94"/>
    <w:rsid w:val="001226E6"/>
    <w:rsid w:val="0012368F"/>
    <w:rsid w:val="0012522F"/>
    <w:rsid w:val="00126897"/>
    <w:rsid w:val="00127271"/>
    <w:rsid w:val="00141275"/>
    <w:rsid w:val="00150561"/>
    <w:rsid w:val="00160238"/>
    <w:rsid w:val="001643FC"/>
    <w:rsid w:val="001655B2"/>
    <w:rsid w:val="00165807"/>
    <w:rsid w:val="00167927"/>
    <w:rsid w:val="00173693"/>
    <w:rsid w:val="00175942"/>
    <w:rsid w:val="00186DD4"/>
    <w:rsid w:val="00192D6A"/>
    <w:rsid w:val="001930B4"/>
    <w:rsid w:val="00196B8C"/>
    <w:rsid w:val="0019753E"/>
    <w:rsid w:val="00197F44"/>
    <w:rsid w:val="001A1518"/>
    <w:rsid w:val="001A2E14"/>
    <w:rsid w:val="001A3389"/>
    <w:rsid w:val="001A3547"/>
    <w:rsid w:val="001A3F15"/>
    <w:rsid w:val="001B1FA7"/>
    <w:rsid w:val="001C3025"/>
    <w:rsid w:val="001C5314"/>
    <w:rsid w:val="001D0E7B"/>
    <w:rsid w:val="001D17A3"/>
    <w:rsid w:val="001D183B"/>
    <w:rsid w:val="001D64C3"/>
    <w:rsid w:val="001E0F7F"/>
    <w:rsid w:val="001E732B"/>
    <w:rsid w:val="001F04F4"/>
    <w:rsid w:val="001F0DA1"/>
    <w:rsid w:val="001F3B2B"/>
    <w:rsid w:val="001F613E"/>
    <w:rsid w:val="001F628C"/>
    <w:rsid w:val="0020198A"/>
    <w:rsid w:val="00204982"/>
    <w:rsid w:val="00205356"/>
    <w:rsid w:val="002127EE"/>
    <w:rsid w:val="00213B82"/>
    <w:rsid w:val="00215988"/>
    <w:rsid w:val="002214A9"/>
    <w:rsid w:val="00222E54"/>
    <w:rsid w:val="00223EC7"/>
    <w:rsid w:val="00230284"/>
    <w:rsid w:val="00234A8C"/>
    <w:rsid w:val="00236756"/>
    <w:rsid w:val="00240AB8"/>
    <w:rsid w:val="0024267D"/>
    <w:rsid w:val="0024779C"/>
    <w:rsid w:val="00253114"/>
    <w:rsid w:val="00256D76"/>
    <w:rsid w:val="002611C1"/>
    <w:rsid w:val="0026179E"/>
    <w:rsid w:val="00262446"/>
    <w:rsid w:val="00263A00"/>
    <w:rsid w:val="00272762"/>
    <w:rsid w:val="0027305E"/>
    <w:rsid w:val="002802A4"/>
    <w:rsid w:val="00283C11"/>
    <w:rsid w:val="00283C8A"/>
    <w:rsid w:val="00287D52"/>
    <w:rsid w:val="002A2730"/>
    <w:rsid w:val="002A4053"/>
    <w:rsid w:val="002C1B57"/>
    <w:rsid w:val="002C317A"/>
    <w:rsid w:val="002C4370"/>
    <w:rsid w:val="002C4B61"/>
    <w:rsid w:val="002C5896"/>
    <w:rsid w:val="002D08B0"/>
    <w:rsid w:val="002D2585"/>
    <w:rsid w:val="002D2AEC"/>
    <w:rsid w:val="002D4185"/>
    <w:rsid w:val="002D5612"/>
    <w:rsid w:val="002E18DE"/>
    <w:rsid w:val="002E36BC"/>
    <w:rsid w:val="002E5553"/>
    <w:rsid w:val="002F481D"/>
    <w:rsid w:val="002F4895"/>
    <w:rsid w:val="00300C93"/>
    <w:rsid w:val="0030212A"/>
    <w:rsid w:val="00304E69"/>
    <w:rsid w:val="0030643E"/>
    <w:rsid w:val="003132E3"/>
    <w:rsid w:val="00315FBC"/>
    <w:rsid w:val="003165A4"/>
    <w:rsid w:val="00316CE3"/>
    <w:rsid w:val="0032173C"/>
    <w:rsid w:val="00321E29"/>
    <w:rsid w:val="003315B3"/>
    <w:rsid w:val="0033167F"/>
    <w:rsid w:val="0033747B"/>
    <w:rsid w:val="00340E72"/>
    <w:rsid w:val="00341770"/>
    <w:rsid w:val="00343B91"/>
    <w:rsid w:val="00344B3F"/>
    <w:rsid w:val="00344ED7"/>
    <w:rsid w:val="00345AD6"/>
    <w:rsid w:val="0035415A"/>
    <w:rsid w:val="0035655C"/>
    <w:rsid w:val="00361D31"/>
    <w:rsid w:val="00366FC7"/>
    <w:rsid w:val="00372ABB"/>
    <w:rsid w:val="00382E3C"/>
    <w:rsid w:val="00383C6A"/>
    <w:rsid w:val="00387A2B"/>
    <w:rsid w:val="003912ED"/>
    <w:rsid w:val="003956B0"/>
    <w:rsid w:val="003A1DF9"/>
    <w:rsid w:val="003A3EDC"/>
    <w:rsid w:val="003B053F"/>
    <w:rsid w:val="003B0D24"/>
    <w:rsid w:val="003B3EF4"/>
    <w:rsid w:val="003B645D"/>
    <w:rsid w:val="003C4727"/>
    <w:rsid w:val="003D0446"/>
    <w:rsid w:val="003D0BFF"/>
    <w:rsid w:val="003D26C2"/>
    <w:rsid w:val="003D366C"/>
    <w:rsid w:val="003E19E8"/>
    <w:rsid w:val="003E1EE0"/>
    <w:rsid w:val="003E2BCA"/>
    <w:rsid w:val="003E5666"/>
    <w:rsid w:val="003E70A0"/>
    <w:rsid w:val="003F2CE6"/>
    <w:rsid w:val="003F4D8D"/>
    <w:rsid w:val="003F62FE"/>
    <w:rsid w:val="003F6AED"/>
    <w:rsid w:val="00402FCD"/>
    <w:rsid w:val="00412B98"/>
    <w:rsid w:val="004156C2"/>
    <w:rsid w:val="00417BB7"/>
    <w:rsid w:val="00420BDE"/>
    <w:rsid w:val="004320CB"/>
    <w:rsid w:val="00433627"/>
    <w:rsid w:val="0044236D"/>
    <w:rsid w:val="00445AE6"/>
    <w:rsid w:val="00446C42"/>
    <w:rsid w:val="00446DB7"/>
    <w:rsid w:val="00451BB3"/>
    <w:rsid w:val="00452A8D"/>
    <w:rsid w:val="00452C4A"/>
    <w:rsid w:val="0045553F"/>
    <w:rsid w:val="00457112"/>
    <w:rsid w:val="00460F22"/>
    <w:rsid w:val="00463566"/>
    <w:rsid w:val="00463B4B"/>
    <w:rsid w:val="004655B1"/>
    <w:rsid w:val="00467C74"/>
    <w:rsid w:val="00470856"/>
    <w:rsid w:val="0047729C"/>
    <w:rsid w:val="00480E6C"/>
    <w:rsid w:val="00483A17"/>
    <w:rsid w:val="0048586B"/>
    <w:rsid w:val="00487F75"/>
    <w:rsid w:val="00491D01"/>
    <w:rsid w:val="00492630"/>
    <w:rsid w:val="00494541"/>
    <w:rsid w:val="00497B9E"/>
    <w:rsid w:val="004A14FF"/>
    <w:rsid w:val="004A172A"/>
    <w:rsid w:val="004B0677"/>
    <w:rsid w:val="004B0D7C"/>
    <w:rsid w:val="004B15D1"/>
    <w:rsid w:val="004C5E43"/>
    <w:rsid w:val="004D3EB5"/>
    <w:rsid w:val="004E3105"/>
    <w:rsid w:val="004F0664"/>
    <w:rsid w:val="004F371E"/>
    <w:rsid w:val="004F49A8"/>
    <w:rsid w:val="004F7358"/>
    <w:rsid w:val="004F7F65"/>
    <w:rsid w:val="00500BB9"/>
    <w:rsid w:val="00503831"/>
    <w:rsid w:val="00513571"/>
    <w:rsid w:val="00514E22"/>
    <w:rsid w:val="00516852"/>
    <w:rsid w:val="00526456"/>
    <w:rsid w:val="005427E2"/>
    <w:rsid w:val="00542851"/>
    <w:rsid w:val="00546441"/>
    <w:rsid w:val="00551B15"/>
    <w:rsid w:val="00554953"/>
    <w:rsid w:val="005661F8"/>
    <w:rsid w:val="0057122E"/>
    <w:rsid w:val="00574966"/>
    <w:rsid w:val="005753FB"/>
    <w:rsid w:val="005770DF"/>
    <w:rsid w:val="00580285"/>
    <w:rsid w:val="00584908"/>
    <w:rsid w:val="00585A84"/>
    <w:rsid w:val="005869AF"/>
    <w:rsid w:val="00587DD4"/>
    <w:rsid w:val="005954DF"/>
    <w:rsid w:val="00597DDD"/>
    <w:rsid w:val="005A7BF8"/>
    <w:rsid w:val="005B1A62"/>
    <w:rsid w:val="005B39A0"/>
    <w:rsid w:val="005C3353"/>
    <w:rsid w:val="005C505C"/>
    <w:rsid w:val="005D10A0"/>
    <w:rsid w:val="005E2F27"/>
    <w:rsid w:val="005E5B6B"/>
    <w:rsid w:val="005F0366"/>
    <w:rsid w:val="005F0DAB"/>
    <w:rsid w:val="005F58E0"/>
    <w:rsid w:val="0060119F"/>
    <w:rsid w:val="006031E4"/>
    <w:rsid w:val="00604C56"/>
    <w:rsid w:val="00610A13"/>
    <w:rsid w:val="006114CF"/>
    <w:rsid w:val="0061324B"/>
    <w:rsid w:val="006155C4"/>
    <w:rsid w:val="0062293F"/>
    <w:rsid w:val="00622A56"/>
    <w:rsid w:val="006242A8"/>
    <w:rsid w:val="00625F78"/>
    <w:rsid w:val="0062633F"/>
    <w:rsid w:val="0062705E"/>
    <w:rsid w:val="0062721C"/>
    <w:rsid w:val="00627592"/>
    <w:rsid w:val="006354D1"/>
    <w:rsid w:val="00635543"/>
    <w:rsid w:val="0064389A"/>
    <w:rsid w:val="00645AE7"/>
    <w:rsid w:val="00646416"/>
    <w:rsid w:val="00646729"/>
    <w:rsid w:val="0065110D"/>
    <w:rsid w:val="00654DA9"/>
    <w:rsid w:val="00656D5B"/>
    <w:rsid w:val="00663FC7"/>
    <w:rsid w:val="006721EA"/>
    <w:rsid w:val="00672DBD"/>
    <w:rsid w:val="00681207"/>
    <w:rsid w:val="00682156"/>
    <w:rsid w:val="006849E6"/>
    <w:rsid w:val="00684AFF"/>
    <w:rsid w:val="00685637"/>
    <w:rsid w:val="00695FF3"/>
    <w:rsid w:val="006A0226"/>
    <w:rsid w:val="006A3F21"/>
    <w:rsid w:val="006B3BD8"/>
    <w:rsid w:val="006C54DC"/>
    <w:rsid w:val="006D1DFC"/>
    <w:rsid w:val="006D6188"/>
    <w:rsid w:val="006E5000"/>
    <w:rsid w:val="006F3451"/>
    <w:rsid w:val="007045D9"/>
    <w:rsid w:val="00705A33"/>
    <w:rsid w:val="00712727"/>
    <w:rsid w:val="00713DE0"/>
    <w:rsid w:val="007147F7"/>
    <w:rsid w:val="0072584B"/>
    <w:rsid w:val="00726FBF"/>
    <w:rsid w:val="0073196D"/>
    <w:rsid w:val="007342DF"/>
    <w:rsid w:val="00734E22"/>
    <w:rsid w:val="00737385"/>
    <w:rsid w:val="0074392C"/>
    <w:rsid w:val="00752EE2"/>
    <w:rsid w:val="007545AA"/>
    <w:rsid w:val="00754EA6"/>
    <w:rsid w:val="00755555"/>
    <w:rsid w:val="00755FD8"/>
    <w:rsid w:val="007854A2"/>
    <w:rsid w:val="007929E9"/>
    <w:rsid w:val="00792CA0"/>
    <w:rsid w:val="007965E8"/>
    <w:rsid w:val="007A1F54"/>
    <w:rsid w:val="007A493B"/>
    <w:rsid w:val="007A7034"/>
    <w:rsid w:val="007B1749"/>
    <w:rsid w:val="007B1977"/>
    <w:rsid w:val="007B2B42"/>
    <w:rsid w:val="007B5434"/>
    <w:rsid w:val="007B56ED"/>
    <w:rsid w:val="007C1C00"/>
    <w:rsid w:val="007C3F8B"/>
    <w:rsid w:val="007D08FD"/>
    <w:rsid w:val="007D23E2"/>
    <w:rsid w:val="007D3C02"/>
    <w:rsid w:val="007E397B"/>
    <w:rsid w:val="007E7879"/>
    <w:rsid w:val="007F24D7"/>
    <w:rsid w:val="00802DAD"/>
    <w:rsid w:val="00812B6D"/>
    <w:rsid w:val="00824799"/>
    <w:rsid w:val="0082703A"/>
    <w:rsid w:val="008307A8"/>
    <w:rsid w:val="00832D72"/>
    <w:rsid w:val="008412DA"/>
    <w:rsid w:val="00843366"/>
    <w:rsid w:val="008461EF"/>
    <w:rsid w:val="00847DA2"/>
    <w:rsid w:val="00850F39"/>
    <w:rsid w:val="00865F9F"/>
    <w:rsid w:val="008704C2"/>
    <w:rsid w:val="00871F1A"/>
    <w:rsid w:val="00872387"/>
    <w:rsid w:val="0088153E"/>
    <w:rsid w:val="00881B9C"/>
    <w:rsid w:val="00884433"/>
    <w:rsid w:val="00885010"/>
    <w:rsid w:val="00885771"/>
    <w:rsid w:val="008860F2"/>
    <w:rsid w:val="00890C9F"/>
    <w:rsid w:val="008918F5"/>
    <w:rsid w:val="008924BB"/>
    <w:rsid w:val="00893B2C"/>
    <w:rsid w:val="00894271"/>
    <w:rsid w:val="00896A6D"/>
    <w:rsid w:val="008970E7"/>
    <w:rsid w:val="008A3977"/>
    <w:rsid w:val="008B0649"/>
    <w:rsid w:val="008B6E06"/>
    <w:rsid w:val="008C2171"/>
    <w:rsid w:val="008C3C75"/>
    <w:rsid w:val="008C689A"/>
    <w:rsid w:val="008C7289"/>
    <w:rsid w:val="008D35CF"/>
    <w:rsid w:val="008E46FD"/>
    <w:rsid w:val="008E69FF"/>
    <w:rsid w:val="008E7033"/>
    <w:rsid w:val="008F051F"/>
    <w:rsid w:val="008F0970"/>
    <w:rsid w:val="008F0D00"/>
    <w:rsid w:val="008F1D38"/>
    <w:rsid w:val="008F23FF"/>
    <w:rsid w:val="008F4EB6"/>
    <w:rsid w:val="00902150"/>
    <w:rsid w:val="00904FA1"/>
    <w:rsid w:val="009056E3"/>
    <w:rsid w:val="0090609D"/>
    <w:rsid w:val="00916E20"/>
    <w:rsid w:val="00933D0F"/>
    <w:rsid w:val="0093458D"/>
    <w:rsid w:val="00934DF9"/>
    <w:rsid w:val="00936259"/>
    <w:rsid w:val="009365BD"/>
    <w:rsid w:val="00947BD9"/>
    <w:rsid w:val="00951A07"/>
    <w:rsid w:val="00952698"/>
    <w:rsid w:val="00953FE8"/>
    <w:rsid w:val="009572F6"/>
    <w:rsid w:val="00961494"/>
    <w:rsid w:val="009704B8"/>
    <w:rsid w:val="00971FB5"/>
    <w:rsid w:val="009721C3"/>
    <w:rsid w:val="00976274"/>
    <w:rsid w:val="00977BA7"/>
    <w:rsid w:val="009803A0"/>
    <w:rsid w:val="00984610"/>
    <w:rsid w:val="00985163"/>
    <w:rsid w:val="00987B8F"/>
    <w:rsid w:val="00990161"/>
    <w:rsid w:val="009911F3"/>
    <w:rsid w:val="00992825"/>
    <w:rsid w:val="009A03C5"/>
    <w:rsid w:val="009A0F63"/>
    <w:rsid w:val="009B0B0E"/>
    <w:rsid w:val="009D4FC7"/>
    <w:rsid w:val="009D5F8C"/>
    <w:rsid w:val="009D7012"/>
    <w:rsid w:val="009D7A8B"/>
    <w:rsid w:val="009E042D"/>
    <w:rsid w:val="009E13F2"/>
    <w:rsid w:val="009E6428"/>
    <w:rsid w:val="009E6CA2"/>
    <w:rsid w:val="00A05061"/>
    <w:rsid w:val="00A06221"/>
    <w:rsid w:val="00A15118"/>
    <w:rsid w:val="00A20511"/>
    <w:rsid w:val="00A2595A"/>
    <w:rsid w:val="00A315A9"/>
    <w:rsid w:val="00A32848"/>
    <w:rsid w:val="00A3502A"/>
    <w:rsid w:val="00A364A9"/>
    <w:rsid w:val="00A367FE"/>
    <w:rsid w:val="00A4000D"/>
    <w:rsid w:val="00A40649"/>
    <w:rsid w:val="00A57F57"/>
    <w:rsid w:val="00A62513"/>
    <w:rsid w:val="00A62A69"/>
    <w:rsid w:val="00A639A1"/>
    <w:rsid w:val="00A65547"/>
    <w:rsid w:val="00A67CBF"/>
    <w:rsid w:val="00A71940"/>
    <w:rsid w:val="00A7328D"/>
    <w:rsid w:val="00A74E13"/>
    <w:rsid w:val="00A753C0"/>
    <w:rsid w:val="00A76C23"/>
    <w:rsid w:val="00A802F7"/>
    <w:rsid w:val="00A81DA1"/>
    <w:rsid w:val="00A85331"/>
    <w:rsid w:val="00A86CFD"/>
    <w:rsid w:val="00A921F6"/>
    <w:rsid w:val="00A963FF"/>
    <w:rsid w:val="00AA0CC0"/>
    <w:rsid w:val="00AA38F0"/>
    <w:rsid w:val="00AA48AF"/>
    <w:rsid w:val="00AB1DB6"/>
    <w:rsid w:val="00AB1EF7"/>
    <w:rsid w:val="00AB408A"/>
    <w:rsid w:val="00AB5583"/>
    <w:rsid w:val="00AC15A1"/>
    <w:rsid w:val="00AC3ABC"/>
    <w:rsid w:val="00AC44D8"/>
    <w:rsid w:val="00AD456C"/>
    <w:rsid w:val="00AD5402"/>
    <w:rsid w:val="00AE4419"/>
    <w:rsid w:val="00AE5A0F"/>
    <w:rsid w:val="00AE6EBA"/>
    <w:rsid w:val="00AF00A7"/>
    <w:rsid w:val="00AF07BB"/>
    <w:rsid w:val="00AF452C"/>
    <w:rsid w:val="00AF5B11"/>
    <w:rsid w:val="00B01E99"/>
    <w:rsid w:val="00B0340F"/>
    <w:rsid w:val="00B11F1D"/>
    <w:rsid w:val="00B129D9"/>
    <w:rsid w:val="00B1645D"/>
    <w:rsid w:val="00B16B1B"/>
    <w:rsid w:val="00B222DB"/>
    <w:rsid w:val="00B23177"/>
    <w:rsid w:val="00B339C9"/>
    <w:rsid w:val="00B36F20"/>
    <w:rsid w:val="00B412D7"/>
    <w:rsid w:val="00B41A8D"/>
    <w:rsid w:val="00B44CA4"/>
    <w:rsid w:val="00B457E0"/>
    <w:rsid w:val="00B4789C"/>
    <w:rsid w:val="00B50414"/>
    <w:rsid w:val="00B50428"/>
    <w:rsid w:val="00B5070D"/>
    <w:rsid w:val="00B517A1"/>
    <w:rsid w:val="00B517CD"/>
    <w:rsid w:val="00B57609"/>
    <w:rsid w:val="00B601FE"/>
    <w:rsid w:val="00B62280"/>
    <w:rsid w:val="00B63865"/>
    <w:rsid w:val="00B652A1"/>
    <w:rsid w:val="00B70753"/>
    <w:rsid w:val="00B758FE"/>
    <w:rsid w:val="00B770C9"/>
    <w:rsid w:val="00B77A53"/>
    <w:rsid w:val="00B8139A"/>
    <w:rsid w:val="00B81ACD"/>
    <w:rsid w:val="00B82177"/>
    <w:rsid w:val="00B823D7"/>
    <w:rsid w:val="00BA13C0"/>
    <w:rsid w:val="00BA4D8C"/>
    <w:rsid w:val="00BB6739"/>
    <w:rsid w:val="00BB6A77"/>
    <w:rsid w:val="00BD09D3"/>
    <w:rsid w:val="00BE3745"/>
    <w:rsid w:val="00BE37F4"/>
    <w:rsid w:val="00BE56EA"/>
    <w:rsid w:val="00BF0B5B"/>
    <w:rsid w:val="00BF172F"/>
    <w:rsid w:val="00BF4544"/>
    <w:rsid w:val="00BF5719"/>
    <w:rsid w:val="00C160EB"/>
    <w:rsid w:val="00C179DF"/>
    <w:rsid w:val="00C22759"/>
    <w:rsid w:val="00C27360"/>
    <w:rsid w:val="00C27399"/>
    <w:rsid w:val="00C30D8D"/>
    <w:rsid w:val="00C32F83"/>
    <w:rsid w:val="00C33634"/>
    <w:rsid w:val="00C3507B"/>
    <w:rsid w:val="00C35D65"/>
    <w:rsid w:val="00C374D9"/>
    <w:rsid w:val="00C42E81"/>
    <w:rsid w:val="00C4589A"/>
    <w:rsid w:val="00C46835"/>
    <w:rsid w:val="00C52468"/>
    <w:rsid w:val="00C54227"/>
    <w:rsid w:val="00C5450C"/>
    <w:rsid w:val="00C56041"/>
    <w:rsid w:val="00C63495"/>
    <w:rsid w:val="00C6679B"/>
    <w:rsid w:val="00C75E4E"/>
    <w:rsid w:val="00C77764"/>
    <w:rsid w:val="00C81159"/>
    <w:rsid w:val="00C81FE7"/>
    <w:rsid w:val="00C823F5"/>
    <w:rsid w:val="00C82F71"/>
    <w:rsid w:val="00C84865"/>
    <w:rsid w:val="00C85CD0"/>
    <w:rsid w:val="00C86571"/>
    <w:rsid w:val="00C903DB"/>
    <w:rsid w:val="00C954E9"/>
    <w:rsid w:val="00C97AF4"/>
    <w:rsid w:val="00CA58CA"/>
    <w:rsid w:val="00CA5EE6"/>
    <w:rsid w:val="00CA6669"/>
    <w:rsid w:val="00CB0BD3"/>
    <w:rsid w:val="00CB2CD6"/>
    <w:rsid w:val="00CB4428"/>
    <w:rsid w:val="00CB691D"/>
    <w:rsid w:val="00CC6B8F"/>
    <w:rsid w:val="00CC7417"/>
    <w:rsid w:val="00CD46C2"/>
    <w:rsid w:val="00CD4E84"/>
    <w:rsid w:val="00CD566E"/>
    <w:rsid w:val="00CE15D5"/>
    <w:rsid w:val="00CE2950"/>
    <w:rsid w:val="00CE551F"/>
    <w:rsid w:val="00CE60B5"/>
    <w:rsid w:val="00CE6150"/>
    <w:rsid w:val="00CF1593"/>
    <w:rsid w:val="00CF1EB1"/>
    <w:rsid w:val="00D04E4E"/>
    <w:rsid w:val="00D158E4"/>
    <w:rsid w:val="00D164F8"/>
    <w:rsid w:val="00D235AD"/>
    <w:rsid w:val="00D25520"/>
    <w:rsid w:val="00D2579C"/>
    <w:rsid w:val="00D257BB"/>
    <w:rsid w:val="00D26AD2"/>
    <w:rsid w:val="00D30A74"/>
    <w:rsid w:val="00D37B6A"/>
    <w:rsid w:val="00D452DF"/>
    <w:rsid w:val="00D45926"/>
    <w:rsid w:val="00D46777"/>
    <w:rsid w:val="00D50D77"/>
    <w:rsid w:val="00D579B5"/>
    <w:rsid w:val="00D62C11"/>
    <w:rsid w:val="00D62F0A"/>
    <w:rsid w:val="00D648B7"/>
    <w:rsid w:val="00D64A8E"/>
    <w:rsid w:val="00D64DBE"/>
    <w:rsid w:val="00D6684F"/>
    <w:rsid w:val="00D67293"/>
    <w:rsid w:val="00D67491"/>
    <w:rsid w:val="00D8127E"/>
    <w:rsid w:val="00D82D70"/>
    <w:rsid w:val="00D83C37"/>
    <w:rsid w:val="00D847E7"/>
    <w:rsid w:val="00D8515E"/>
    <w:rsid w:val="00D90AFB"/>
    <w:rsid w:val="00D9191D"/>
    <w:rsid w:val="00D936F0"/>
    <w:rsid w:val="00DA10ED"/>
    <w:rsid w:val="00DA7AB9"/>
    <w:rsid w:val="00DB3584"/>
    <w:rsid w:val="00DC0E70"/>
    <w:rsid w:val="00DC4358"/>
    <w:rsid w:val="00DC6A10"/>
    <w:rsid w:val="00DD31B0"/>
    <w:rsid w:val="00DD6164"/>
    <w:rsid w:val="00DD70CA"/>
    <w:rsid w:val="00DE6624"/>
    <w:rsid w:val="00DE7BD6"/>
    <w:rsid w:val="00DF7B3C"/>
    <w:rsid w:val="00E00B83"/>
    <w:rsid w:val="00E0168D"/>
    <w:rsid w:val="00E0366F"/>
    <w:rsid w:val="00E10633"/>
    <w:rsid w:val="00E1220A"/>
    <w:rsid w:val="00E14CD8"/>
    <w:rsid w:val="00E14D7B"/>
    <w:rsid w:val="00E15A25"/>
    <w:rsid w:val="00E17213"/>
    <w:rsid w:val="00E208A5"/>
    <w:rsid w:val="00E211FF"/>
    <w:rsid w:val="00E276DE"/>
    <w:rsid w:val="00E35D9F"/>
    <w:rsid w:val="00E36AD0"/>
    <w:rsid w:val="00E4074D"/>
    <w:rsid w:val="00E41D97"/>
    <w:rsid w:val="00E526CA"/>
    <w:rsid w:val="00E53275"/>
    <w:rsid w:val="00E54975"/>
    <w:rsid w:val="00E57F99"/>
    <w:rsid w:val="00E60298"/>
    <w:rsid w:val="00E63481"/>
    <w:rsid w:val="00E65911"/>
    <w:rsid w:val="00E67E5D"/>
    <w:rsid w:val="00E73042"/>
    <w:rsid w:val="00E74786"/>
    <w:rsid w:val="00E7566E"/>
    <w:rsid w:val="00E83C65"/>
    <w:rsid w:val="00E8492E"/>
    <w:rsid w:val="00E85D07"/>
    <w:rsid w:val="00E94480"/>
    <w:rsid w:val="00E96C91"/>
    <w:rsid w:val="00E9792D"/>
    <w:rsid w:val="00EA1F9E"/>
    <w:rsid w:val="00EA4191"/>
    <w:rsid w:val="00EA589E"/>
    <w:rsid w:val="00EA5F5A"/>
    <w:rsid w:val="00EA63F6"/>
    <w:rsid w:val="00EB3FB2"/>
    <w:rsid w:val="00EC1E72"/>
    <w:rsid w:val="00EC3470"/>
    <w:rsid w:val="00EC4783"/>
    <w:rsid w:val="00EC7C5E"/>
    <w:rsid w:val="00ED534B"/>
    <w:rsid w:val="00ED5F06"/>
    <w:rsid w:val="00EE2C4E"/>
    <w:rsid w:val="00EE3178"/>
    <w:rsid w:val="00EE4312"/>
    <w:rsid w:val="00EE4FC9"/>
    <w:rsid w:val="00EE79C3"/>
    <w:rsid w:val="00EF032A"/>
    <w:rsid w:val="00EF15E0"/>
    <w:rsid w:val="00EF1FC1"/>
    <w:rsid w:val="00EF374B"/>
    <w:rsid w:val="00EF3913"/>
    <w:rsid w:val="00EF53A9"/>
    <w:rsid w:val="00EF7EB2"/>
    <w:rsid w:val="00F007DC"/>
    <w:rsid w:val="00F0287D"/>
    <w:rsid w:val="00F028D3"/>
    <w:rsid w:val="00F06DF3"/>
    <w:rsid w:val="00F06EF7"/>
    <w:rsid w:val="00F16828"/>
    <w:rsid w:val="00F17237"/>
    <w:rsid w:val="00F2042E"/>
    <w:rsid w:val="00F210C1"/>
    <w:rsid w:val="00F21920"/>
    <w:rsid w:val="00F22B57"/>
    <w:rsid w:val="00F26F5C"/>
    <w:rsid w:val="00F2742F"/>
    <w:rsid w:val="00F32B5D"/>
    <w:rsid w:val="00F357F5"/>
    <w:rsid w:val="00F36EF4"/>
    <w:rsid w:val="00F43423"/>
    <w:rsid w:val="00F43995"/>
    <w:rsid w:val="00F50B35"/>
    <w:rsid w:val="00F562AB"/>
    <w:rsid w:val="00F568C3"/>
    <w:rsid w:val="00F70AA6"/>
    <w:rsid w:val="00F70E03"/>
    <w:rsid w:val="00F71D6D"/>
    <w:rsid w:val="00F76913"/>
    <w:rsid w:val="00F8038B"/>
    <w:rsid w:val="00F80D7F"/>
    <w:rsid w:val="00F83AB7"/>
    <w:rsid w:val="00F83C56"/>
    <w:rsid w:val="00F8465E"/>
    <w:rsid w:val="00F8512C"/>
    <w:rsid w:val="00F90E7A"/>
    <w:rsid w:val="00F97776"/>
    <w:rsid w:val="00FA0336"/>
    <w:rsid w:val="00FA039A"/>
    <w:rsid w:val="00FA1B94"/>
    <w:rsid w:val="00FA405D"/>
    <w:rsid w:val="00FA700D"/>
    <w:rsid w:val="00FC0D1D"/>
    <w:rsid w:val="00FC5291"/>
    <w:rsid w:val="00FC700F"/>
    <w:rsid w:val="00FD3002"/>
    <w:rsid w:val="00FE16CE"/>
    <w:rsid w:val="00FE19BE"/>
    <w:rsid w:val="00FE2256"/>
    <w:rsid w:val="00FE2907"/>
    <w:rsid w:val="00FE3824"/>
    <w:rsid w:val="00FE4D7E"/>
    <w:rsid w:val="00FF594A"/>
    <w:rsid w:val="00FF6603"/>
    <w:rsid w:val="00FF7737"/>
    <w:rsid w:val="0FF3D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9E19D"/>
  <w15:docId w15:val="{032E290B-6EB2-41A9-9CCD-27E758F1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003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CB8"/>
  </w:style>
  <w:style w:type="paragraph" w:styleId="Piedepgina">
    <w:name w:val="footer"/>
    <w:basedOn w:val="Normal"/>
    <w:link w:val="PiedepginaCar"/>
    <w:uiPriority w:val="99"/>
    <w:unhideWhenUsed/>
    <w:rsid w:val="00003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CB8"/>
  </w:style>
  <w:style w:type="paragraph" w:styleId="Prrafodelista">
    <w:name w:val="List Paragraph"/>
    <w:basedOn w:val="Normal"/>
    <w:link w:val="PrrafodelistaCar"/>
    <w:uiPriority w:val="34"/>
    <w:qFormat/>
    <w:rsid w:val="00B8139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23F5"/>
    <w:rPr>
      <w:color w:val="0000FF"/>
      <w:u w:val="single"/>
    </w:rPr>
  </w:style>
  <w:style w:type="paragraph" w:styleId="Revisin">
    <w:name w:val="Revision"/>
    <w:hidden/>
    <w:uiPriority w:val="99"/>
    <w:semiHidden/>
    <w:rsid w:val="00383C6A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rsid w:val="00885771"/>
  </w:style>
  <w:style w:type="paragraph" w:styleId="Textodeglobo">
    <w:name w:val="Balloon Text"/>
    <w:basedOn w:val="Normal"/>
    <w:link w:val="TextodegloboCar"/>
    <w:uiPriority w:val="99"/>
    <w:semiHidden/>
    <w:unhideWhenUsed/>
    <w:rsid w:val="00F8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D7F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6B8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6B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C6B8F"/>
    <w:rPr>
      <w:vertAlign w:val="superscript"/>
    </w:rPr>
  </w:style>
  <w:style w:type="table" w:styleId="Tablaconcuadrcula">
    <w:name w:val="Table Grid"/>
    <w:basedOn w:val="Tablanormal"/>
    <w:uiPriority w:val="39"/>
    <w:rsid w:val="002A2730"/>
    <w:pPr>
      <w:spacing w:after="0" w:line="240" w:lineRule="auto"/>
    </w:pPr>
    <w:rPr>
      <w:rFonts w:asciiTheme="minorHAnsi" w:eastAsiaTheme="minorHAnsi" w:hAnsiTheme="minorHAnsi" w:cstheme="minorBid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2A273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730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A27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273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2730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paragraph" w:styleId="NormalWeb">
    <w:name w:val="Normal (Web)"/>
    <w:basedOn w:val="Normal"/>
    <w:uiPriority w:val="99"/>
    <w:semiHidden/>
    <w:unhideWhenUsed/>
    <w:rsid w:val="00C227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F454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F454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F4544"/>
    <w:rPr>
      <w:vertAlign w:val="superscript"/>
    </w:rPr>
  </w:style>
  <w:style w:type="paragraph" w:customStyle="1" w:styleId="xmsonormal">
    <w:name w:val="x_msonormal"/>
    <w:basedOn w:val="Normal"/>
    <w:rsid w:val="0067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DD2"/>
    <w:rPr>
      <w:rFonts w:ascii="Calibri" w:eastAsia="Calibri" w:hAnsi="Calibri" w:cs="Calibri"/>
      <w:b/>
      <w:bCs/>
      <w:lang w:val="es-ES" w:eastAsia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DD2"/>
    <w:rPr>
      <w:rFonts w:asciiTheme="minorHAnsi" w:eastAsiaTheme="minorHAnsi" w:hAnsiTheme="minorHAnsi" w:cstheme="minorBidi"/>
      <w:b/>
      <w:bCs/>
      <w:sz w:val="20"/>
      <w:szCs w:val="20"/>
      <w:lang w:val="es-CO" w:eastAsia="en-US"/>
    </w:rPr>
  </w:style>
  <w:style w:type="character" w:customStyle="1" w:styleId="normaltextrun">
    <w:name w:val="normaltextrun"/>
    <w:basedOn w:val="Fuentedeprrafopredeter"/>
    <w:rsid w:val="0003218A"/>
  </w:style>
  <w:style w:type="character" w:customStyle="1" w:styleId="eop">
    <w:name w:val="eop"/>
    <w:basedOn w:val="Fuentedeprrafopredeter"/>
    <w:rsid w:val="0003218A"/>
  </w:style>
  <w:style w:type="paragraph" w:customStyle="1" w:styleId="paragraph">
    <w:name w:val="paragraph"/>
    <w:basedOn w:val="Normal"/>
    <w:rsid w:val="0047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nfasis">
    <w:name w:val="Emphasis"/>
    <w:basedOn w:val="Fuentedeprrafopredeter"/>
    <w:uiPriority w:val="20"/>
    <w:qFormat/>
    <w:rsid w:val="00215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8672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59893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0501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2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9825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6110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onedriveHOtmail\OneDrive\Documents\TELETRABAJO%20EDGAR\2022\Seguimiento%20Plan%20de%20Acci&#243;n\Diciembre\Datos%20para%20informe%20de%20PAA%202022-IV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Desempeño por dependencia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'Por dependencia'!$C$2</c:f>
              <c:strCache>
                <c:ptCount val="1"/>
                <c:pt idx="0">
                  <c:v>Esperado Corte Diciembre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'Por dependencia'!$B$3:$B$25</c:f>
              <c:strCache>
                <c:ptCount val="23"/>
                <c:pt idx="0">
                  <c:v>DIRECCIÓN DE HIDROCARBUROS</c:v>
                </c:pt>
                <c:pt idx="1">
                  <c:v>DIRECCIÓN DE ENERGÍA ELÉCTRICA</c:v>
                </c:pt>
                <c:pt idx="2">
                  <c:v>GRUPO DE COMUNICACIÓN Y PRENSA</c:v>
                </c:pt>
                <c:pt idx="3">
                  <c:v>DIRECCIÓN DE FORMALIZACIÓN MINERA</c:v>
                </c:pt>
                <c:pt idx="4">
                  <c:v>OFICINA DE PLANEACIÓN Y GESTIÓN INTERNACIONAL</c:v>
                </c:pt>
                <c:pt idx="5">
                  <c:v>DIRECCIÓN DE MINERÍA EMPRESARIAL</c:v>
                </c:pt>
                <c:pt idx="6">
                  <c:v>GRUPO DE EJECUCIÓN ESTRATÉGICA DEL SECTOR EXTRACTIVO</c:v>
                </c:pt>
                <c:pt idx="7">
                  <c:v>OFICINA DE CONTROL INTERNO</c:v>
                </c:pt>
                <c:pt idx="8">
                  <c:v>GRUPO DE RELACIONAMIENTO CON EL CIUDADANO Y GESTIÓN DE LA INFORMACIÓN</c:v>
                </c:pt>
                <c:pt idx="9">
                  <c:v>OFICINA ASESORA JURÍDICA</c:v>
                </c:pt>
                <c:pt idx="10">
                  <c:v>OFICINA DE ASUNTOS REGULATORIOS Y EMPRESARIALES</c:v>
                </c:pt>
                <c:pt idx="11">
                  <c:v>OFICINA DE ASUNTOS AMBIENTALES Y SOCIALES</c:v>
                </c:pt>
                <c:pt idx="12">
                  <c:v>GRUPO DE ASUNTOS LEGISLATIVOS</c:v>
                </c:pt>
                <c:pt idx="13">
                  <c:v>GRUPO DE EJECUCIÓN PRESUPUESTAL</c:v>
                </c:pt>
                <c:pt idx="14">
                  <c:v>GRUPO DE GESTIÓN CONTRACTUAL</c:v>
                </c:pt>
                <c:pt idx="15">
                  <c:v>OFICINA DE CONTROL INTERNO DISCIPLINARIO</c:v>
                </c:pt>
                <c:pt idx="16">
                  <c:v>GRUPO DE GESTIÓN FINANCIERA Y CONTABLE</c:v>
                </c:pt>
                <c:pt idx="17">
                  <c:v>GRUPO DE INFRAESTRUCTURA TECNOLÓGICA</c:v>
                </c:pt>
                <c:pt idx="18">
                  <c:v>SUBDIRECCIÓN ADMINISTRATIVA Y FINANCIERA</c:v>
                </c:pt>
                <c:pt idx="19">
                  <c:v>GRUPO DE SERVICIOS ADMINISTRATIVOS</c:v>
                </c:pt>
                <c:pt idx="20">
                  <c:v>GRUPO UNIDAD DE RESULTADOS</c:v>
                </c:pt>
                <c:pt idx="21">
                  <c:v>SUBDIRECCIÓN DE TALENTO HUMANO</c:v>
                </c:pt>
                <c:pt idx="22">
                  <c:v>VICEMINISTRO DE MINAS</c:v>
                </c:pt>
              </c:strCache>
            </c:strRef>
          </c:cat>
          <c:val>
            <c:numRef>
              <c:f>'Por dependencia'!$C$3:$C$25</c:f>
              <c:numCache>
                <c:formatCode>0%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9C-4F12-A1B4-A7B5E72B6299}"/>
            </c:ext>
          </c:extLst>
        </c:ser>
        <c:ser>
          <c:idx val="1"/>
          <c:order val="1"/>
          <c:tx>
            <c:strRef>
              <c:f>'Por dependencia'!$D$2</c:f>
              <c:strCache>
                <c:ptCount val="1"/>
                <c:pt idx="0">
                  <c:v>Ejecutado Corte Diciembre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'Por dependencia'!$B$3:$B$25</c:f>
              <c:strCache>
                <c:ptCount val="23"/>
                <c:pt idx="0">
                  <c:v>DIRECCIÓN DE HIDROCARBUROS</c:v>
                </c:pt>
                <c:pt idx="1">
                  <c:v>DIRECCIÓN DE ENERGÍA ELÉCTRICA</c:v>
                </c:pt>
                <c:pt idx="2">
                  <c:v>GRUPO DE COMUNICACIÓN Y PRENSA</c:v>
                </c:pt>
                <c:pt idx="3">
                  <c:v>DIRECCIÓN DE FORMALIZACIÓN MINERA</c:v>
                </c:pt>
                <c:pt idx="4">
                  <c:v>OFICINA DE PLANEACIÓN Y GESTIÓN INTERNACIONAL</c:v>
                </c:pt>
                <c:pt idx="5">
                  <c:v>DIRECCIÓN DE MINERÍA EMPRESARIAL</c:v>
                </c:pt>
                <c:pt idx="6">
                  <c:v>GRUPO DE EJECUCIÓN ESTRATÉGICA DEL SECTOR EXTRACTIVO</c:v>
                </c:pt>
                <c:pt idx="7">
                  <c:v>OFICINA DE CONTROL INTERNO</c:v>
                </c:pt>
                <c:pt idx="8">
                  <c:v>GRUPO DE RELACIONAMIENTO CON EL CIUDADANO Y GESTIÓN DE LA INFORMACIÓN</c:v>
                </c:pt>
                <c:pt idx="9">
                  <c:v>OFICINA ASESORA JURÍDICA</c:v>
                </c:pt>
                <c:pt idx="10">
                  <c:v>OFICINA DE ASUNTOS REGULATORIOS Y EMPRESARIALES</c:v>
                </c:pt>
                <c:pt idx="11">
                  <c:v>OFICINA DE ASUNTOS AMBIENTALES Y SOCIALES</c:v>
                </c:pt>
                <c:pt idx="12">
                  <c:v>GRUPO DE ASUNTOS LEGISLATIVOS</c:v>
                </c:pt>
                <c:pt idx="13">
                  <c:v>GRUPO DE EJECUCIÓN PRESUPUESTAL</c:v>
                </c:pt>
                <c:pt idx="14">
                  <c:v>GRUPO DE GESTIÓN CONTRACTUAL</c:v>
                </c:pt>
                <c:pt idx="15">
                  <c:v>OFICINA DE CONTROL INTERNO DISCIPLINARIO</c:v>
                </c:pt>
                <c:pt idx="16">
                  <c:v>GRUPO DE GESTIÓN FINANCIERA Y CONTABLE</c:v>
                </c:pt>
                <c:pt idx="17">
                  <c:v>GRUPO DE INFRAESTRUCTURA TECNOLÓGICA</c:v>
                </c:pt>
                <c:pt idx="18">
                  <c:v>SUBDIRECCIÓN ADMINISTRATIVA Y FINANCIERA</c:v>
                </c:pt>
                <c:pt idx="19">
                  <c:v>GRUPO DE SERVICIOS ADMINISTRATIVOS</c:v>
                </c:pt>
                <c:pt idx="20">
                  <c:v>GRUPO UNIDAD DE RESULTADOS</c:v>
                </c:pt>
                <c:pt idx="21">
                  <c:v>SUBDIRECCIÓN DE TALENTO HUMANO</c:v>
                </c:pt>
                <c:pt idx="22">
                  <c:v>VICEMINISTRO DE MINAS</c:v>
                </c:pt>
              </c:strCache>
            </c:strRef>
          </c:cat>
          <c:val>
            <c:numRef>
              <c:f>'Por dependencia'!$D$3:$D$25</c:f>
              <c:numCache>
                <c:formatCode>0.0%</c:formatCode>
                <c:ptCount val="23"/>
                <c:pt idx="0">
                  <c:v>0.58659056756241656</c:v>
                </c:pt>
                <c:pt idx="1">
                  <c:v>0.61923598092200105</c:v>
                </c:pt>
                <c:pt idx="2">
                  <c:v>0.79734848484848486</c:v>
                </c:pt>
                <c:pt idx="3">
                  <c:v>0.83333333333333337</c:v>
                </c:pt>
                <c:pt idx="4">
                  <c:v>0.94444444444444442</c:v>
                </c:pt>
                <c:pt idx="5">
                  <c:v>0.95200000000000007</c:v>
                </c:pt>
                <c:pt idx="6">
                  <c:v>0.96647058823529408</c:v>
                </c:pt>
                <c:pt idx="7">
                  <c:v>0.97402597402597402</c:v>
                </c:pt>
                <c:pt idx="8">
                  <c:v>0.98484848484848475</c:v>
                </c:pt>
                <c:pt idx="9">
                  <c:v>0.99086999999999992</c:v>
                </c:pt>
                <c:pt idx="10">
                  <c:v>0.99285714285714288</c:v>
                </c:pt>
                <c:pt idx="11">
                  <c:v>0.9956666666666667</c:v>
                </c:pt>
                <c:pt idx="12" formatCode="0%">
                  <c:v>1</c:v>
                </c:pt>
                <c:pt idx="13" formatCode="0%">
                  <c:v>1</c:v>
                </c:pt>
                <c:pt idx="14" formatCode="0%">
                  <c:v>1</c:v>
                </c:pt>
                <c:pt idx="15" formatCode="0%">
                  <c:v>1</c:v>
                </c:pt>
                <c:pt idx="16" formatCode="0%">
                  <c:v>1</c:v>
                </c:pt>
                <c:pt idx="17" formatCode="0%">
                  <c:v>1</c:v>
                </c:pt>
                <c:pt idx="18" formatCode="0%">
                  <c:v>1</c:v>
                </c:pt>
                <c:pt idx="19" formatCode="0%">
                  <c:v>1</c:v>
                </c:pt>
                <c:pt idx="20" formatCode="0%">
                  <c:v>1</c:v>
                </c:pt>
                <c:pt idx="21" formatCode="0%">
                  <c:v>1</c:v>
                </c:pt>
                <c:pt idx="22" formatCode="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D9C-4F12-A1B4-A7B5E72B629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844356336"/>
        <c:axId val="-844354160"/>
      </c:barChart>
      <c:catAx>
        <c:axId val="-844356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-844354160"/>
        <c:crosses val="autoZero"/>
        <c:auto val="1"/>
        <c:lblAlgn val="ctr"/>
        <c:lblOffset val="100"/>
        <c:noMultiLvlLbl val="0"/>
      </c:catAx>
      <c:valAx>
        <c:axId val="-844354160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-8443563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800"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00000001" w:usb1="5000E07B" w:usb2="00000000" w:usb3="00000000" w:csb0="000001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1E72"/>
    <w:rsid w:val="00881E72"/>
    <w:rsid w:val="0091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ACE9B-D38B-40D7-A80F-D28C1DD6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1965</Words>
  <Characters>10813</Characters>
  <Application>Microsoft Office Word</Application>
  <DocSecurity>0</DocSecurity>
  <Lines>90</Lines>
  <Paragraphs>25</Paragraphs>
  <ScaleCrop>false</ScaleCrop>
  <Company>Microsoft</Company>
  <LinksUpToDate>false</LinksUpToDate>
  <CharactersWithSpaces>12753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Gonzalez Nieto</dc:creator>
  <cp:keywords/>
  <dc:description/>
  <cp:lastModifiedBy>Cuenta Microsoft</cp:lastModifiedBy>
  <cp:revision>22</cp:revision>
  <cp:lastPrinted>2020-01-30T19:59:00Z</cp:lastPrinted>
  <dcterms:created xsi:type="dcterms:W3CDTF">2023-01-24T15:42:00Z</dcterms:created>
  <dcterms:modified xsi:type="dcterms:W3CDTF">2023-02-22T15:16:00Z</dcterms:modified>
</cp:coreProperties>
</file>